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63" w:rsidRDefault="00583E63" w:rsidP="0038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PRZYKŁADY REGIONALNEJ POMOCY PUBLICZNEJ NA DOLNYM ŚLĄSKU</w:t>
      </w:r>
    </w:p>
    <w:p w:rsidR="0091530A" w:rsidRDefault="0091530A" w:rsidP="009153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530A" w:rsidRDefault="0091530A" w:rsidP="009153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Dolnym Śląsku zatwierdzone przez Komisję czy jej zgłoszone programy pomocy dotyczyły rozwoju regionalnego, badań i innowacji, restrukturyzacji, ratowania przedsiębiorstw, infrastruktury, sieci szerokopasmowej, prac konserwatorskich i restauratorskich. </w:t>
      </w:r>
    </w:p>
    <w:p w:rsidR="0091530A" w:rsidRDefault="0091530A" w:rsidP="009153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30A">
        <w:rPr>
          <w:rFonts w:ascii="Times New Roman" w:hAnsi="Times New Roman"/>
          <w:b/>
          <w:sz w:val="24"/>
          <w:szCs w:val="24"/>
        </w:rPr>
        <w:t>Programy pomocy regionalnej</w:t>
      </w:r>
      <w:r>
        <w:rPr>
          <w:rFonts w:ascii="Times New Roman" w:hAnsi="Times New Roman"/>
          <w:sz w:val="24"/>
          <w:szCs w:val="24"/>
        </w:rPr>
        <w:t xml:space="preserve"> przewidywały wsparcie dla inwestycji początkowych oraz tworzenia nowych miejsc pracy związanych z tymi inwestycjami, a dotyczyły gminy Wrocław (sprawa N15/2005), Kobierzyce (sprawy N221/2005, N13/2006, N636/2006), Żarów (sprawa N625/2005), Zgorzelec (sprawa N12/2006), Głogów (sprawa XR178/2007, Świdnica (sprawy XE 26/2005, XE29/2007) i Lwówek Śląski (sprawa N277/2006). Przedsiębiorstwa realizujące na terenie tych gmin inwestycje początkowe uzyskiwały </w:t>
      </w:r>
      <w:r w:rsidRPr="0091530A">
        <w:rPr>
          <w:rFonts w:ascii="Times New Roman" w:hAnsi="Times New Roman"/>
          <w:b/>
          <w:sz w:val="24"/>
          <w:szCs w:val="24"/>
        </w:rPr>
        <w:t>zwolnienie od podatku od nieruchomości na okres 5 lat.</w:t>
      </w:r>
      <w:r>
        <w:rPr>
          <w:rFonts w:ascii="Times New Roman" w:hAnsi="Times New Roman"/>
          <w:sz w:val="24"/>
          <w:szCs w:val="24"/>
        </w:rPr>
        <w:t xml:space="preserve"> Kwota zwolnienia uzależniona była od liczby utworzonych miejsc pracy. Wymagany był też wkład własny odpowiadający 25% kosztów inwestycji. </w:t>
      </w:r>
    </w:p>
    <w:p w:rsidR="0091530A" w:rsidRDefault="0091530A" w:rsidP="009153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regionalna była łączona z inwestycjami w odnawialne źródła energii, inwestycjami w zakresie przebudowy sieci dystrybucji ciepła (sprawa XS 74/2005), czy inwestycjami w portach lotniczych, poprawiającymi dostępność transportową polskich regionów (sprawa N472/2008). Programy pomocy były współfinansowane ze środków funduszy strukturalnych:</w:t>
      </w:r>
    </w:p>
    <w:p w:rsidR="0091530A" w:rsidRPr="0091530A" w:rsidRDefault="0091530A" w:rsidP="009153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30A">
        <w:rPr>
          <w:rFonts w:ascii="Times New Roman" w:hAnsi="Times New Roman"/>
          <w:sz w:val="24"/>
          <w:szCs w:val="24"/>
        </w:rPr>
        <w:t xml:space="preserve">- realizacja projektu sieci szerokopasmowej (sprawa SA.33386/2012), </w:t>
      </w:r>
    </w:p>
    <w:p w:rsidR="0091530A" w:rsidRPr="0091530A" w:rsidRDefault="0091530A" w:rsidP="009153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30A">
        <w:rPr>
          <w:rFonts w:ascii="Times New Roman" w:hAnsi="Times New Roman"/>
          <w:sz w:val="24"/>
          <w:szCs w:val="24"/>
        </w:rPr>
        <w:t>- inwestycja w portach lotniczych (sprawa SA.26587),</w:t>
      </w:r>
    </w:p>
    <w:p w:rsidR="0091530A" w:rsidRPr="0091530A" w:rsidRDefault="0091530A" w:rsidP="009153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30A">
        <w:rPr>
          <w:rFonts w:ascii="Times New Roman" w:hAnsi="Times New Roman"/>
          <w:sz w:val="24"/>
          <w:szCs w:val="24"/>
        </w:rPr>
        <w:t xml:space="preserve">- usługi doradcze dla małych i średnich przedsiębiorstw (sprawa XS226/2008). </w:t>
      </w:r>
    </w:p>
    <w:p w:rsidR="0091530A" w:rsidRDefault="0091530A" w:rsidP="0091530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Pierwsza grupa inwestycji korzystała ze środków Europejskiego Funduszu Rozwoju Regionalnego, a przy ocenie projektów brano pod uwagę </w:t>
      </w:r>
      <w:r w:rsidRPr="00446A97">
        <w:rPr>
          <w:rFonts w:ascii="Times New Roman" w:hAnsi="Times New Roman"/>
          <w:sz w:val="24"/>
          <w:szCs w:val="24"/>
        </w:rPr>
        <w:t>czy spełniają</w:t>
      </w:r>
      <w:r>
        <w:rPr>
          <w:rFonts w:ascii="Times New Roman" w:hAnsi="Times New Roman"/>
          <w:sz w:val="24"/>
          <w:szCs w:val="24"/>
        </w:rPr>
        <w:t xml:space="preserve"> one</w:t>
      </w:r>
      <w:r w:rsidRPr="00446A97">
        <w:rPr>
          <w:rFonts w:ascii="Times New Roman" w:hAnsi="Times New Roman"/>
          <w:sz w:val="24"/>
          <w:szCs w:val="24"/>
        </w:rPr>
        <w:t xml:space="preserve"> wymogi podane w wytycznych wspólnotowych w sprawie stosowania przepisów dotyczących pomocy państwa w odniesieniu do szybkiego w</w:t>
      </w:r>
      <w:r>
        <w:rPr>
          <w:rFonts w:ascii="Times New Roman" w:hAnsi="Times New Roman"/>
          <w:sz w:val="24"/>
          <w:szCs w:val="24"/>
        </w:rPr>
        <w:t>drażania sieci szerokopasmowych</w:t>
      </w:r>
      <w:r w:rsidRPr="00446A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Argumentem na rzecz zatwierdzenie takiej pomocy była jej zgodność z polityką Unii zawartą w Strategii Europa </w:t>
      </w:r>
      <w:smartTag w:uri="urn:schemas-microsoft-com:office:smarttags" w:element="metricconverter">
        <w:smartTagPr>
          <w:attr w:name="ProductID" w:val="2020, a"/>
        </w:smartTagPr>
        <w:r>
          <w:rPr>
            <w:rFonts w:ascii="Times New Roman" w:hAnsi="Times New Roman"/>
            <w:sz w:val="24"/>
            <w:szCs w:val="24"/>
          </w:rPr>
          <w:t>2020, a</w:t>
        </w:r>
      </w:smartTag>
      <w:r>
        <w:rPr>
          <w:rFonts w:ascii="Times New Roman" w:hAnsi="Times New Roman"/>
          <w:sz w:val="24"/>
          <w:szCs w:val="24"/>
        </w:rPr>
        <w:t xml:space="preserve"> związaną z jednolitym rynkiem cyfrowym i możliwością osiągania ekonomicznych i społecznych korzyści z </w:t>
      </w:r>
      <w:r w:rsidRPr="00D76DBF">
        <w:rPr>
          <w:rFonts w:ascii="Times New Roman" w:hAnsi="Times New Roman"/>
          <w:color w:val="000000"/>
          <w:sz w:val="24"/>
          <w:szCs w:val="24"/>
        </w:rPr>
        <w:t xml:space="preserve">szybkiego </w:t>
      </w:r>
      <w:proofErr w:type="spellStart"/>
      <w:r w:rsidRPr="00D76DBF">
        <w:rPr>
          <w:rFonts w:ascii="Times New Roman" w:hAnsi="Times New Roman"/>
          <w:color w:val="000000"/>
          <w:sz w:val="24"/>
          <w:szCs w:val="24"/>
        </w:rPr>
        <w:t>internetu</w:t>
      </w:r>
      <w:proofErr w:type="spellEnd"/>
      <w:r w:rsidRPr="00D76DBF">
        <w:rPr>
          <w:rFonts w:ascii="Times New Roman" w:hAnsi="Times New Roman"/>
          <w:color w:val="000000"/>
          <w:sz w:val="24"/>
          <w:szCs w:val="24"/>
        </w:rPr>
        <w:t xml:space="preserve"> i aplikacji </w:t>
      </w:r>
      <w:proofErr w:type="spellStart"/>
      <w:r w:rsidRPr="00D76DBF">
        <w:rPr>
          <w:rFonts w:ascii="Times New Roman" w:hAnsi="Times New Roman"/>
          <w:color w:val="000000"/>
          <w:sz w:val="24"/>
          <w:szCs w:val="24"/>
        </w:rPr>
        <w:t>interoperacyjnych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[COM(2010) 2020]. </w:t>
      </w:r>
    </w:p>
    <w:p w:rsidR="0091530A" w:rsidRDefault="0091530A" w:rsidP="0091530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Pomoc na inwestycje w portach lotniczych realizowana była w ramach programu operacyjnego Infrastruktura i Środowisko i współfinansowana z Funduszu Spójności z przeznaczeniem na rozwój transeuropejskiej sieci transportowej. Budżet programu wynosił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251,5 mln euro dla ośmiu portów lotniczych, a dla portu lotniczego Wrocław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Strachowice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maksymalna intensywność pomocy wynosiła 75%.</w:t>
      </w:r>
    </w:p>
    <w:p w:rsidR="0091530A" w:rsidRDefault="0091530A" w:rsidP="003804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E63" w:rsidRDefault="0091530A" w:rsidP="003804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Przykład pomocy dla przedsi</w:t>
      </w:r>
      <w:r w:rsidR="00526139">
        <w:rPr>
          <w:rFonts w:ascii="Times New Roman" w:hAnsi="Times New Roman"/>
          <w:b/>
          <w:sz w:val="24"/>
          <w:szCs w:val="24"/>
        </w:rPr>
        <w:t>ębiorstw ze strefy ekonomicznej – pomoc regionalna ad hoc</w:t>
      </w:r>
    </w:p>
    <w:p w:rsidR="003A2383" w:rsidRPr="003A2383" w:rsidRDefault="003A2383" w:rsidP="0038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0419" w:rsidRDefault="00380419" w:rsidP="00380419">
      <w:pPr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B45E7">
        <w:rPr>
          <w:rFonts w:ascii="Times New Roman" w:hAnsi="Times New Roman"/>
          <w:sz w:val="24"/>
          <w:szCs w:val="24"/>
        </w:rPr>
        <w:t>omoc udzielana przedsiębiorstwom inwestującym w Tarnobrzeskiej Strefie Ekonomicznej, gdzie utworzony został klaster elektroniczny w Kobierzycach, który obejmował inwestycje następujących przedsiębiorstw:</w:t>
      </w:r>
      <w:r w:rsidRPr="003B45E7">
        <w:rPr>
          <w:rFonts w:ascii="TimesNewRoman" w:hAnsi="TimesNewRoman" w:cs="TimesNewRoman"/>
          <w:sz w:val="24"/>
          <w:szCs w:val="24"/>
        </w:rPr>
        <w:t xml:space="preserve"> </w:t>
      </w:r>
    </w:p>
    <w:p w:rsidR="00380419" w:rsidRDefault="00380419" w:rsidP="0038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Pr="003B45E7">
        <w:rPr>
          <w:rFonts w:ascii="TimesNewRoman" w:hAnsi="TimesNewRoman" w:cs="TimesNewRoman"/>
          <w:sz w:val="24"/>
          <w:szCs w:val="24"/>
        </w:rPr>
        <w:t xml:space="preserve">LG </w:t>
      </w:r>
      <w:proofErr w:type="spellStart"/>
      <w:r w:rsidRPr="003B45E7">
        <w:rPr>
          <w:rFonts w:ascii="TimesNewRoman" w:hAnsi="TimesNewRoman" w:cs="TimesNewRoman"/>
          <w:sz w:val="24"/>
          <w:szCs w:val="24"/>
        </w:rPr>
        <w:t>Innotek</w:t>
      </w:r>
      <w:proofErr w:type="spellEnd"/>
      <w:r w:rsidRPr="003B45E7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3B45E7">
        <w:rPr>
          <w:rFonts w:ascii="TimesNewRoman" w:hAnsi="TimesNewRoman" w:cs="TimesNewRoman"/>
          <w:sz w:val="24"/>
          <w:szCs w:val="24"/>
        </w:rPr>
        <w:t>Poland–uruchomienie</w:t>
      </w:r>
      <w:proofErr w:type="spellEnd"/>
      <w:r w:rsidRPr="003B45E7">
        <w:rPr>
          <w:rFonts w:ascii="TimesNewRoman" w:hAnsi="TimesNewRoman" w:cs="TimesNewRoman"/>
          <w:sz w:val="24"/>
          <w:szCs w:val="24"/>
        </w:rPr>
        <w:t xml:space="preserve"> nowego przedsiębiorstwa produkującego tunery TV, inwertery i zasilacze (</w:t>
      </w:r>
      <w:r w:rsidR="003A2383">
        <w:rPr>
          <w:rFonts w:ascii="TimesNewRoman" w:hAnsi="TimesNewRoman" w:cs="TimesNewRoman"/>
          <w:sz w:val="24"/>
          <w:szCs w:val="24"/>
        </w:rPr>
        <w:t xml:space="preserve">sprawa </w:t>
      </w:r>
      <w:r w:rsidRPr="003B45E7">
        <w:rPr>
          <w:rFonts w:ascii="Times New Roman" w:hAnsi="Times New Roman"/>
          <w:sz w:val="24"/>
          <w:szCs w:val="24"/>
        </w:rPr>
        <w:t xml:space="preserve">N251/2006); </w:t>
      </w:r>
    </w:p>
    <w:p w:rsidR="00380419" w:rsidRDefault="00380419" w:rsidP="0038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Pr="003B45E7">
        <w:rPr>
          <w:rFonts w:ascii="TimesNewRoman" w:hAnsi="TimesNewRoman" w:cs="TimesNewRoman"/>
          <w:sz w:val="24"/>
          <w:szCs w:val="24"/>
        </w:rPr>
        <w:t xml:space="preserve">LG. Philips </w:t>
      </w:r>
      <w:proofErr w:type="spellStart"/>
      <w:r w:rsidRPr="003B45E7">
        <w:rPr>
          <w:rFonts w:ascii="TimesNewRoman" w:hAnsi="TimesNewRoman" w:cs="TimesNewRoman"/>
          <w:sz w:val="24"/>
          <w:szCs w:val="24"/>
        </w:rPr>
        <w:t>LCD–produkcja</w:t>
      </w:r>
      <w:proofErr w:type="spellEnd"/>
      <w:r w:rsidRPr="003B45E7">
        <w:rPr>
          <w:rFonts w:ascii="TimesNewRoman" w:hAnsi="TimesNewRoman" w:cs="TimesNewRoman"/>
          <w:sz w:val="24"/>
          <w:szCs w:val="24"/>
        </w:rPr>
        <w:t xml:space="preserve"> modułów LCD do telewizorów </w:t>
      </w:r>
      <w:r w:rsidRPr="003B45E7">
        <w:rPr>
          <w:rFonts w:ascii="Times New Roman" w:hAnsi="Times New Roman"/>
        </w:rPr>
        <w:t>(</w:t>
      </w:r>
      <w:r w:rsidR="003A2383">
        <w:rPr>
          <w:rFonts w:ascii="Times New Roman" w:hAnsi="Times New Roman"/>
        </w:rPr>
        <w:t xml:space="preserve">sprawa </w:t>
      </w:r>
      <w:r w:rsidRPr="003B45E7">
        <w:rPr>
          <w:rFonts w:ascii="Times New Roman" w:hAnsi="Times New Roman"/>
          <w:sz w:val="24"/>
          <w:szCs w:val="24"/>
        </w:rPr>
        <w:t xml:space="preserve">N245/2006); </w:t>
      </w:r>
    </w:p>
    <w:p w:rsidR="00380419" w:rsidRDefault="00380419" w:rsidP="0038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proofErr w:type="spellStart"/>
      <w:r w:rsidRPr="003B45E7">
        <w:rPr>
          <w:rFonts w:ascii="TimesNewRoman" w:hAnsi="TimesNewRoman" w:cs="TimesNewRoman"/>
          <w:sz w:val="24"/>
          <w:szCs w:val="24"/>
        </w:rPr>
        <w:t>Ohsung</w:t>
      </w:r>
      <w:proofErr w:type="spellEnd"/>
      <w:r w:rsidRPr="003B45E7">
        <w:rPr>
          <w:rFonts w:ascii="TimesNewRoman" w:hAnsi="TimesNewRoman" w:cs="TimesNewRoman"/>
          <w:sz w:val="24"/>
          <w:szCs w:val="24"/>
        </w:rPr>
        <w:t xml:space="preserve"> (Dong </w:t>
      </w:r>
      <w:proofErr w:type="spellStart"/>
      <w:r w:rsidRPr="003B45E7">
        <w:rPr>
          <w:rFonts w:ascii="TimesNewRoman" w:hAnsi="TimesNewRoman" w:cs="TimesNewRoman"/>
          <w:sz w:val="24"/>
          <w:szCs w:val="24"/>
        </w:rPr>
        <w:t>Seo</w:t>
      </w:r>
      <w:proofErr w:type="spellEnd"/>
      <w:r w:rsidRPr="003B45E7">
        <w:rPr>
          <w:rFonts w:ascii="TimesNewRoman" w:hAnsi="TimesNewRoman" w:cs="TimesNewRoman"/>
          <w:sz w:val="24"/>
          <w:szCs w:val="24"/>
        </w:rPr>
        <w:t xml:space="preserve">) Display </w:t>
      </w:r>
      <w:proofErr w:type="spellStart"/>
      <w:r w:rsidRPr="003B45E7">
        <w:rPr>
          <w:rFonts w:ascii="TimesNewRoman" w:hAnsi="TimesNewRoman" w:cs="TimesNewRoman"/>
          <w:sz w:val="24"/>
          <w:szCs w:val="24"/>
        </w:rPr>
        <w:t>Poland–produkcja</w:t>
      </w:r>
      <w:proofErr w:type="spellEnd"/>
      <w:r w:rsidRPr="003B45E7">
        <w:rPr>
          <w:rFonts w:ascii="TimesNewRoman" w:hAnsi="TimesNewRoman" w:cs="TimesNewRoman"/>
          <w:sz w:val="24"/>
          <w:szCs w:val="24"/>
        </w:rPr>
        <w:t xml:space="preserve"> komponentów metalowych do jednostek przeciw oświetleniowych i modułów LCD; (</w:t>
      </w:r>
      <w:r w:rsidR="003A2383">
        <w:rPr>
          <w:rFonts w:ascii="TimesNewRoman" w:hAnsi="TimesNewRoman" w:cs="TimesNewRoman"/>
          <w:sz w:val="24"/>
          <w:szCs w:val="24"/>
        </w:rPr>
        <w:t xml:space="preserve">sprawa </w:t>
      </w:r>
      <w:r w:rsidRPr="003B45E7">
        <w:rPr>
          <w:rFonts w:ascii="Times New Roman" w:hAnsi="Times New Roman"/>
          <w:sz w:val="24"/>
          <w:szCs w:val="24"/>
        </w:rPr>
        <w:t xml:space="preserve">N246/2006); </w:t>
      </w:r>
    </w:p>
    <w:p w:rsidR="00380419" w:rsidRDefault="00380419" w:rsidP="0038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Pr="003B45E7">
        <w:rPr>
          <w:rFonts w:ascii="TimesNewRoman" w:hAnsi="TimesNewRoman" w:cs="TimesNewRoman"/>
          <w:sz w:val="24"/>
          <w:szCs w:val="24"/>
        </w:rPr>
        <w:t xml:space="preserve">Lucky </w:t>
      </w:r>
      <w:proofErr w:type="spellStart"/>
      <w:r w:rsidRPr="003B45E7">
        <w:rPr>
          <w:rFonts w:ascii="TimesNewRoman" w:hAnsi="TimesNewRoman" w:cs="TimesNewRoman"/>
          <w:sz w:val="24"/>
          <w:szCs w:val="24"/>
        </w:rPr>
        <w:t>SMT-produkcja</w:t>
      </w:r>
      <w:proofErr w:type="spellEnd"/>
      <w:r w:rsidRPr="003B45E7">
        <w:rPr>
          <w:rFonts w:ascii="TimesNewRoman" w:hAnsi="TimesNewRoman" w:cs="TimesNewRoman"/>
          <w:sz w:val="24"/>
          <w:szCs w:val="24"/>
        </w:rPr>
        <w:t xml:space="preserve"> płytek obwodów drukowanych; (</w:t>
      </w:r>
      <w:r w:rsidR="003A2383">
        <w:rPr>
          <w:rFonts w:ascii="TimesNewRoman" w:hAnsi="TimesNewRoman" w:cs="TimesNewRoman"/>
          <w:sz w:val="24"/>
          <w:szCs w:val="24"/>
        </w:rPr>
        <w:t xml:space="preserve">sprawa </w:t>
      </w:r>
      <w:r w:rsidRPr="003B45E7">
        <w:rPr>
          <w:rFonts w:ascii="Times New Roman" w:hAnsi="Times New Roman"/>
          <w:sz w:val="24"/>
          <w:szCs w:val="24"/>
        </w:rPr>
        <w:t xml:space="preserve">N247/2006); </w:t>
      </w:r>
    </w:p>
    <w:p w:rsidR="00380419" w:rsidRDefault="00380419" w:rsidP="0038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45E7">
        <w:rPr>
          <w:rFonts w:ascii="TimesNewRoman" w:hAnsi="TimesNewRoman" w:cs="TimesNewRoman"/>
          <w:sz w:val="24"/>
          <w:szCs w:val="24"/>
        </w:rPr>
        <w:t xml:space="preserve">Dong Yang Electronics-produkcja komponentów z tworzyw sztucznych do jednostek przeciw oświetleniowych, wytwarzanie innych produktów z tworzyw sztucznych i montowanie obwodów drukowanych; </w:t>
      </w:r>
      <w:r w:rsidRPr="003B45E7">
        <w:rPr>
          <w:rFonts w:ascii="Times New Roman" w:hAnsi="Times New Roman"/>
          <w:sz w:val="24"/>
          <w:szCs w:val="24"/>
        </w:rPr>
        <w:t>(</w:t>
      </w:r>
      <w:r w:rsidR="003A2383">
        <w:rPr>
          <w:rFonts w:ascii="Times New Roman" w:hAnsi="Times New Roman"/>
          <w:sz w:val="24"/>
          <w:szCs w:val="24"/>
        </w:rPr>
        <w:t xml:space="preserve">sprawa </w:t>
      </w:r>
      <w:r w:rsidRPr="003B45E7">
        <w:rPr>
          <w:rFonts w:ascii="Times New Roman" w:hAnsi="Times New Roman"/>
          <w:sz w:val="24"/>
          <w:szCs w:val="24"/>
        </w:rPr>
        <w:t xml:space="preserve">N248/2006); </w:t>
      </w:r>
    </w:p>
    <w:p w:rsidR="00380419" w:rsidRDefault="00380419" w:rsidP="0038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proofErr w:type="spellStart"/>
      <w:r w:rsidRPr="003B45E7">
        <w:rPr>
          <w:rFonts w:ascii="TimesNewRoman" w:hAnsi="TimesNewRoman" w:cs="TimesNewRoman"/>
          <w:sz w:val="24"/>
          <w:szCs w:val="24"/>
        </w:rPr>
        <w:t>Heesung</w:t>
      </w:r>
      <w:proofErr w:type="spellEnd"/>
      <w:r w:rsidRPr="003B45E7">
        <w:rPr>
          <w:rFonts w:ascii="TimesNewRoman" w:hAnsi="TimesNewRoman" w:cs="TimesNewRoman"/>
          <w:sz w:val="24"/>
          <w:szCs w:val="24"/>
        </w:rPr>
        <w:t xml:space="preserve"> Electronics Poland-produkcja jednostek przeciw oświetleniowych </w:t>
      </w:r>
      <w:r w:rsidRPr="003B45E7">
        <w:rPr>
          <w:rFonts w:ascii="Times New Roman" w:hAnsi="Times New Roman"/>
          <w:sz w:val="24"/>
          <w:szCs w:val="24"/>
        </w:rPr>
        <w:t>(</w:t>
      </w:r>
      <w:r w:rsidR="003A2383">
        <w:rPr>
          <w:rFonts w:ascii="Times New Roman" w:hAnsi="Times New Roman"/>
          <w:sz w:val="24"/>
          <w:szCs w:val="24"/>
        </w:rPr>
        <w:t xml:space="preserve">sprawa </w:t>
      </w:r>
      <w:r w:rsidRPr="003B45E7">
        <w:rPr>
          <w:rFonts w:ascii="Times New Roman" w:hAnsi="Times New Roman"/>
          <w:sz w:val="24"/>
          <w:szCs w:val="24"/>
        </w:rPr>
        <w:t xml:space="preserve">N249/2006); </w:t>
      </w:r>
    </w:p>
    <w:p w:rsidR="00380419" w:rsidRDefault="00380419" w:rsidP="0038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Pr="003B45E7">
        <w:rPr>
          <w:rFonts w:ascii="TimesNewRoman" w:hAnsi="TimesNewRoman" w:cs="TimesNewRoman"/>
          <w:sz w:val="24"/>
          <w:szCs w:val="24"/>
        </w:rPr>
        <w:t xml:space="preserve">LG </w:t>
      </w:r>
      <w:proofErr w:type="spellStart"/>
      <w:r w:rsidRPr="003B45E7">
        <w:rPr>
          <w:rFonts w:ascii="TimesNewRoman" w:hAnsi="TimesNewRoman" w:cs="TimesNewRoman"/>
          <w:sz w:val="24"/>
          <w:szCs w:val="24"/>
        </w:rPr>
        <w:t>Chem</w:t>
      </w:r>
      <w:proofErr w:type="spellEnd"/>
      <w:r w:rsidRPr="003B45E7">
        <w:rPr>
          <w:rFonts w:ascii="TimesNewRoman" w:hAnsi="TimesNewRoman" w:cs="TimesNewRoman"/>
          <w:sz w:val="24"/>
          <w:szCs w:val="24"/>
        </w:rPr>
        <w:t xml:space="preserve"> Poland--produkcja polaryzatorów i filtrów PDP </w:t>
      </w:r>
      <w:r w:rsidRPr="003B45E7">
        <w:rPr>
          <w:rFonts w:ascii="Times New Roman" w:hAnsi="Times New Roman"/>
          <w:sz w:val="24"/>
          <w:szCs w:val="24"/>
        </w:rPr>
        <w:t>(</w:t>
      </w:r>
      <w:r w:rsidR="003A2383">
        <w:rPr>
          <w:rFonts w:ascii="Times New Roman" w:hAnsi="Times New Roman"/>
          <w:sz w:val="24"/>
          <w:szCs w:val="24"/>
        </w:rPr>
        <w:t xml:space="preserve">sprawa </w:t>
      </w:r>
      <w:r w:rsidRPr="003B45E7">
        <w:rPr>
          <w:rFonts w:ascii="Times New Roman" w:hAnsi="Times New Roman"/>
          <w:sz w:val="24"/>
          <w:szCs w:val="24"/>
        </w:rPr>
        <w:t xml:space="preserve">N250/2006); </w:t>
      </w:r>
    </w:p>
    <w:p w:rsidR="00380419" w:rsidRPr="003B45E7" w:rsidRDefault="00380419" w:rsidP="00380419">
      <w:pPr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 w:rsidRPr="003B45E7">
        <w:rPr>
          <w:rFonts w:ascii="TimesNewRoman" w:hAnsi="TimesNewRoman" w:cs="TimesNewRoman"/>
          <w:sz w:val="24"/>
          <w:szCs w:val="24"/>
        </w:rPr>
        <w:t xml:space="preserve">LG Electronics Wrocław (telewizory)–produkcja telewizorów </w:t>
      </w:r>
      <w:r w:rsidRPr="003B45E7">
        <w:rPr>
          <w:rFonts w:ascii="Times New Roman" w:hAnsi="Times New Roman"/>
          <w:sz w:val="24"/>
          <w:szCs w:val="24"/>
        </w:rPr>
        <w:t>(</w:t>
      </w:r>
      <w:r w:rsidR="003A2383">
        <w:rPr>
          <w:rFonts w:ascii="Times New Roman" w:hAnsi="Times New Roman"/>
          <w:sz w:val="24"/>
          <w:szCs w:val="24"/>
        </w:rPr>
        <w:t xml:space="preserve">sprawa </w:t>
      </w:r>
      <w:r w:rsidRPr="003B45E7">
        <w:rPr>
          <w:rFonts w:ascii="Times New Roman" w:hAnsi="Times New Roman"/>
          <w:sz w:val="24"/>
          <w:szCs w:val="24"/>
        </w:rPr>
        <w:t xml:space="preserve">N257/2006). </w:t>
      </w:r>
    </w:p>
    <w:p w:rsidR="00380419" w:rsidRDefault="00380419" w:rsidP="003804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185A">
        <w:rPr>
          <w:rFonts w:ascii="Times New Roman" w:hAnsi="Times New Roman"/>
          <w:b/>
          <w:sz w:val="24"/>
          <w:szCs w:val="24"/>
        </w:rPr>
        <w:t xml:space="preserve">Pomoc </w:t>
      </w:r>
      <w:r w:rsidR="00526139" w:rsidRPr="0085185A">
        <w:rPr>
          <w:rFonts w:ascii="Times New Roman" w:hAnsi="Times New Roman"/>
          <w:b/>
          <w:sz w:val="24"/>
          <w:szCs w:val="24"/>
        </w:rPr>
        <w:t xml:space="preserve">regionalna </w:t>
      </w:r>
      <w:r w:rsidRPr="0085185A">
        <w:rPr>
          <w:rFonts w:ascii="Times New Roman" w:hAnsi="Times New Roman"/>
          <w:b/>
          <w:sz w:val="24"/>
          <w:szCs w:val="24"/>
        </w:rPr>
        <w:t>ad hoc</w:t>
      </w:r>
      <w:r>
        <w:rPr>
          <w:rFonts w:ascii="Times New Roman" w:hAnsi="Times New Roman"/>
          <w:sz w:val="24"/>
          <w:szCs w:val="24"/>
        </w:rPr>
        <w:t xml:space="preserve"> we wszystkich tych sprawach przewidziana była w formie dotacji celowej, nieodpłatnego przekazania gruntów, zwolnienia z opłat strefowych, opłat z tytułu wyłączenia gruntów z produkcji rolnej. Była ona połączona z dodatkową pomocą regionalną w formie zwolnienia z płacenia podatku dochodowego od osób prawnych, podatku od nieruchomości i narzędzi wspierania zatrudnienia. Zgłoszone projekty pomocy regionalnej spełniały wymogi określone w Wytycznych w sprawie pomocy regionalnej 2007-2013 i Krajowej mapie pomocy regionalnej na okres 2007-2013 (</w:t>
      </w:r>
      <w:r w:rsidRPr="00184DDD">
        <w:rPr>
          <w:rFonts w:ascii="Times New Roman" w:hAnsi="Times New Roman"/>
          <w:sz w:val="24"/>
          <w:szCs w:val="24"/>
        </w:rPr>
        <w:t>K(2006)4010</w:t>
      </w:r>
      <w:r>
        <w:rPr>
          <w:rFonts w:ascii="Times New Roman" w:hAnsi="Times New Roman"/>
          <w:sz w:val="24"/>
          <w:szCs w:val="24"/>
        </w:rPr>
        <w:t>). Wszystkie projekty inwestycyjne były realizowane w latach 2006-2011 i każdy z beneficjentów pomocy zobowiązywał się do utrzymania projektu przez co najmniej pięć lat, licząc od jego zakończenia oraz przez pięć m</w:t>
      </w:r>
      <w:r w:rsidR="0085185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 w:rsidR="0085185A">
        <w:rPr>
          <w:rFonts w:ascii="Times New Roman" w:hAnsi="Times New Roman"/>
          <w:sz w:val="24"/>
          <w:szCs w:val="24"/>
        </w:rPr>
        <w:t>ły</w:t>
      </w:r>
      <w:r>
        <w:rPr>
          <w:rFonts w:ascii="Times New Roman" w:hAnsi="Times New Roman"/>
          <w:sz w:val="24"/>
          <w:szCs w:val="24"/>
        </w:rPr>
        <w:t xml:space="preserve"> być utrzymane utworzone miejsca pracy. Tego ostatniego zobowiązania nie przyjęła spółka LG Philips. Korzyści miał odnieść region w postaci nowych miejsc pracy w obdarowanych spółkach (łącznie ok. 10.933 pracowników) i w przedsiębiorstwach znajdujących się w sąsiedztwie inwestycji (ok. 20.609 pracowników), </w:t>
      </w:r>
      <w:r>
        <w:rPr>
          <w:rFonts w:ascii="Times New Roman" w:hAnsi="Times New Roman"/>
          <w:sz w:val="24"/>
          <w:szCs w:val="24"/>
        </w:rPr>
        <w:lastRenderedPageBreak/>
        <w:t>ułatwień przeprowadzenia zmian strukturalnych i zaktywizowania regionu dotkniętego likwidacją kopalni, przyciągnięcia kolejnych inwestorów, producentów i poddostawców. Łączna kwota pomocy 476,561 mln zł.</w:t>
      </w:r>
    </w:p>
    <w:p w:rsidR="00583E63" w:rsidRDefault="00380419" w:rsidP="00583E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takich samych środków pomocy skorzystała spółka LG Electronics Wrocław, której projekt inwestycyjny polegający na utworzeniu nowego zakładu produkcji sprzętu gospodarstwa domowego realizowany był w Kobierzycach. (</w:t>
      </w:r>
      <w:r w:rsidR="00F6205E">
        <w:rPr>
          <w:rFonts w:ascii="Times New Roman" w:hAnsi="Times New Roman"/>
          <w:sz w:val="24"/>
          <w:szCs w:val="24"/>
        </w:rPr>
        <w:t xml:space="preserve">sprawa </w:t>
      </w:r>
      <w:r>
        <w:rPr>
          <w:rFonts w:ascii="Times New Roman" w:hAnsi="Times New Roman"/>
          <w:sz w:val="24"/>
          <w:szCs w:val="24"/>
        </w:rPr>
        <w:t>N256/2006). Szacowano wzrost</w:t>
      </w:r>
      <w:r w:rsidR="00583E63">
        <w:rPr>
          <w:rFonts w:ascii="Times New Roman" w:hAnsi="Times New Roman"/>
          <w:sz w:val="24"/>
          <w:szCs w:val="24"/>
        </w:rPr>
        <w:t xml:space="preserve"> zatrudnienia na 910 miejsc pracy i 680 pośrednich miejsc pracy. Kwota pomocy odpowiadała 32.382.458zł. W Kobierzycach też została</w:t>
      </w:r>
      <w:r w:rsidR="00583E63" w:rsidRPr="00567170">
        <w:rPr>
          <w:rFonts w:ascii="Times New Roman" w:hAnsi="Times New Roman"/>
          <w:sz w:val="24"/>
          <w:szCs w:val="24"/>
        </w:rPr>
        <w:t xml:space="preserve"> </w:t>
      </w:r>
      <w:r w:rsidR="00583E63">
        <w:rPr>
          <w:rFonts w:ascii="Times New Roman" w:hAnsi="Times New Roman"/>
          <w:sz w:val="24"/>
          <w:szCs w:val="24"/>
        </w:rPr>
        <w:t xml:space="preserve">udzielona pomoc ad hoc spółce Toshiba </w:t>
      </w:r>
      <w:proofErr w:type="spellStart"/>
      <w:r w:rsidR="00583E63">
        <w:rPr>
          <w:rFonts w:ascii="Times New Roman" w:hAnsi="Times New Roman"/>
          <w:sz w:val="24"/>
          <w:szCs w:val="24"/>
        </w:rPr>
        <w:t>Television</w:t>
      </w:r>
      <w:proofErr w:type="spellEnd"/>
      <w:r w:rsidR="00583E63">
        <w:rPr>
          <w:rFonts w:ascii="Times New Roman" w:hAnsi="Times New Roman"/>
          <w:sz w:val="24"/>
          <w:szCs w:val="24"/>
        </w:rPr>
        <w:t xml:space="preserve"> Central Europe (N905/2006) na powstanie nowego zakładu produkcyjnego telewizory LCD, radioodbiorniki oraz urządzenia do rejestracji i odtwarzania dźwięku i obrazów. Środkiem pomocy była dotacja w wysokości 27.842.880zł i preferencyjna stawka opłat za zarządzanie w specjalnej strefie ekonomicznej. Łączna kwota pomocy zatwierdzonej przez Komisji to 29.354.768zł, co miało przyczynić się do utworzenia 1006 nowych miejsc pracy. </w:t>
      </w:r>
    </w:p>
    <w:p w:rsidR="00583E63" w:rsidRDefault="00583E63" w:rsidP="00583E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0738" w:rsidRPr="00583E63" w:rsidRDefault="00D40738" w:rsidP="003804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40738" w:rsidRPr="00583E63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69B3"/>
    <w:multiLevelType w:val="hybridMultilevel"/>
    <w:tmpl w:val="9890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compat/>
  <w:rsids>
    <w:rsidRoot w:val="00380419"/>
    <w:rsid w:val="00380419"/>
    <w:rsid w:val="003A2383"/>
    <w:rsid w:val="00526139"/>
    <w:rsid w:val="00583E63"/>
    <w:rsid w:val="0085185A"/>
    <w:rsid w:val="0091530A"/>
    <w:rsid w:val="00C70289"/>
    <w:rsid w:val="00CC5AEC"/>
    <w:rsid w:val="00D40738"/>
    <w:rsid w:val="00F6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4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836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dcterms:created xsi:type="dcterms:W3CDTF">2020-03-27T13:33:00Z</dcterms:created>
  <dcterms:modified xsi:type="dcterms:W3CDTF">2020-03-27T13:52:00Z</dcterms:modified>
</cp:coreProperties>
</file>