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38" w:rsidRDefault="003B2893">
      <w:r>
        <w:t>Zarządzanie projektami UE</w:t>
      </w:r>
    </w:p>
    <w:p w:rsidR="003B2893" w:rsidRDefault="003B2893"/>
    <w:p w:rsidR="003B2893" w:rsidRDefault="003B2893" w:rsidP="003B2893">
      <w:pPr>
        <w:rPr>
          <w:b/>
        </w:rPr>
      </w:pPr>
      <w:r>
        <w:rPr>
          <w:b/>
        </w:rPr>
        <w:t>Temat: Finansowanie projektów i zarządzanie finansami projektu</w:t>
      </w:r>
    </w:p>
    <w:p w:rsidR="003B2893" w:rsidRDefault="003B2893" w:rsidP="00890454">
      <w:pPr>
        <w:jc w:val="center"/>
        <w:rPr>
          <w:b/>
        </w:rPr>
      </w:pPr>
    </w:p>
    <w:p w:rsidR="00890454" w:rsidRDefault="00890454" w:rsidP="00890454">
      <w:pPr>
        <w:jc w:val="center"/>
        <w:rPr>
          <w:b/>
        </w:rPr>
      </w:pPr>
      <w:r>
        <w:rPr>
          <w:b/>
        </w:rPr>
        <w:t>Budżetowanie projektu</w:t>
      </w:r>
    </w:p>
    <w:p w:rsidR="00890454" w:rsidRDefault="00890454" w:rsidP="00890454">
      <w:pPr>
        <w:jc w:val="center"/>
        <w:rPr>
          <w:b/>
        </w:rPr>
      </w:pPr>
    </w:p>
    <w:p w:rsidR="00890454" w:rsidRDefault="00890454" w:rsidP="009C6A95">
      <w:pPr>
        <w:ind w:firstLine="708"/>
      </w:pPr>
      <w:r w:rsidRPr="00890454">
        <w:rPr>
          <w:b/>
        </w:rPr>
        <w:t>Budżetowanie projektu</w:t>
      </w:r>
      <w:r>
        <w:t xml:space="preserve"> polega na przypisaniu oszacowanych kosztów poszczególnym zadaniom przestawionym w strukturze projektu oraz odniesienie ich do danej jednostki czasu. Jest to proces uzgadniania i zatwierdzania budżetu projektu oraz przekazania go do realizacji. W przypadku projektów współfinansowanych ze środków UE następuje to w momencie podpisania umowy o dofinansowanie.</w:t>
      </w:r>
    </w:p>
    <w:p w:rsidR="00890454" w:rsidRDefault="00890454" w:rsidP="00890454">
      <w:r>
        <w:t>Przy sporządzaniu budżetu uwzględnia się:</w:t>
      </w:r>
    </w:p>
    <w:p w:rsidR="00890454" w:rsidRDefault="000D7BB8" w:rsidP="000D7BB8">
      <w:pPr>
        <w:pStyle w:val="Akapitzlist"/>
        <w:numPr>
          <w:ilvl w:val="0"/>
          <w:numId w:val="1"/>
        </w:numPr>
      </w:pPr>
      <w:r>
        <w:t>czas jego obowiązywania,</w:t>
      </w:r>
    </w:p>
    <w:p w:rsidR="000D7BB8" w:rsidRDefault="000D7BB8" w:rsidP="000D7BB8">
      <w:pPr>
        <w:pStyle w:val="Akapitzlist"/>
        <w:numPr>
          <w:ilvl w:val="0"/>
          <w:numId w:val="1"/>
        </w:numPr>
      </w:pPr>
      <w:r>
        <w:t>rodzaje kosztów,</w:t>
      </w:r>
    </w:p>
    <w:p w:rsidR="000D7BB8" w:rsidRDefault="000D7BB8" w:rsidP="000D7BB8">
      <w:pPr>
        <w:pStyle w:val="Akapitzlist"/>
        <w:numPr>
          <w:ilvl w:val="0"/>
          <w:numId w:val="1"/>
        </w:numPr>
      </w:pPr>
      <w:r>
        <w:t>dostępność środków finansowych (zaliczka czy refundacja),</w:t>
      </w:r>
    </w:p>
    <w:p w:rsidR="000D7BB8" w:rsidRDefault="000D7BB8" w:rsidP="000D7BB8">
      <w:pPr>
        <w:pStyle w:val="Akapitzlist"/>
        <w:numPr>
          <w:ilvl w:val="0"/>
          <w:numId w:val="1"/>
        </w:numPr>
      </w:pPr>
      <w:r>
        <w:t>weryfikację budżetu z punktu widzenia działań merytorycznych.</w:t>
      </w:r>
    </w:p>
    <w:p w:rsidR="000D7BB8" w:rsidRDefault="000D7BB8" w:rsidP="000D7BB8">
      <w:pPr>
        <w:rPr>
          <w:i/>
        </w:rPr>
      </w:pPr>
      <w:r>
        <w:t>Koszty w projekcie są przedstawiane w ujęciu rodzajowym (jakie koszty?) i podmiotowym (kto je ponosi?). Takimi standardowymi pozycjami w budżecie są: amortyzacja, zużycie materiałów, energii, usługi obce, podatki i opłaty, wynagrodzenia, ubezpieczenia społeczne, koszty promocji. (</w:t>
      </w:r>
      <w:r>
        <w:rPr>
          <w:i/>
        </w:rPr>
        <w:t>promocja jest ważnym elementem projektu europejskiego).</w:t>
      </w:r>
    </w:p>
    <w:p w:rsidR="009C6A95" w:rsidRDefault="009C6A95" w:rsidP="000D7BB8"/>
    <w:p w:rsidR="00EF62F0" w:rsidRDefault="000D7BB8" w:rsidP="000D7BB8">
      <w:pPr>
        <w:rPr>
          <w:b/>
        </w:rPr>
      </w:pPr>
      <w:r w:rsidRPr="000D7BB8">
        <w:rPr>
          <w:b/>
        </w:rPr>
        <w:t>Szczegóły budżetowania projektu zawarte są w Podręczniku-Zarządzanie Cyklem Projektu wydanym przez Komisję.</w:t>
      </w:r>
    </w:p>
    <w:p w:rsidR="009C6A95" w:rsidRDefault="009C6A95" w:rsidP="000D7BB8">
      <w:pPr>
        <w:rPr>
          <w:b/>
        </w:rPr>
      </w:pPr>
    </w:p>
    <w:p w:rsidR="00EF62F0" w:rsidRDefault="00EF62F0" w:rsidP="00EF62F0">
      <w:r>
        <w:t>Zasady budżetowania przy projekcie europejskim:</w:t>
      </w:r>
    </w:p>
    <w:p w:rsidR="00EF62F0" w:rsidRDefault="00EF62F0" w:rsidP="00EF62F0">
      <w:pPr>
        <w:pStyle w:val="Akapitzlist"/>
        <w:numPr>
          <w:ilvl w:val="0"/>
          <w:numId w:val="3"/>
        </w:numPr>
      </w:pPr>
      <w:r>
        <w:t>projekt powinien spełniać kryterium obiektywności</w:t>
      </w:r>
      <w:r w:rsidR="000067D0">
        <w:t xml:space="preserve"> – opierać się na zweryfikowanych założeniach teoretycznych i poprawnych danych finansowo-księgowych;</w:t>
      </w:r>
    </w:p>
    <w:p w:rsidR="000067D0" w:rsidRDefault="000067D0" w:rsidP="00EF62F0">
      <w:pPr>
        <w:pStyle w:val="Akapitzlist"/>
        <w:numPr>
          <w:ilvl w:val="0"/>
          <w:numId w:val="3"/>
        </w:numPr>
      </w:pPr>
      <w:r>
        <w:t>efekty projektu powinny być wskazane w sposób jasny, precyzyjny, nie budzący wątpliwości, aby można je było zweryfikować za pomocą wskaźników (mierników) produktu, wpływu lub rezultatu;</w:t>
      </w:r>
    </w:p>
    <w:p w:rsidR="000067D0" w:rsidRDefault="000067D0" w:rsidP="00EF62F0">
      <w:pPr>
        <w:pStyle w:val="Akapitzlist"/>
        <w:numPr>
          <w:ilvl w:val="0"/>
          <w:numId w:val="3"/>
        </w:numPr>
      </w:pPr>
      <w:r>
        <w:t>budżet powinien uwzględniać wszystkie wydatki i koszty, przychody i efekty;</w:t>
      </w:r>
    </w:p>
    <w:p w:rsidR="000067D0" w:rsidRDefault="000067D0" w:rsidP="00EF62F0">
      <w:pPr>
        <w:pStyle w:val="Akapitzlist"/>
        <w:numPr>
          <w:ilvl w:val="0"/>
          <w:numId w:val="3"/>
        </w:numPr>
      </w:pPr>
      <w:r>
        <w:t>budżet ma być spójny.</w:t>
      </w:r>
    </w:p>
    <w:p w:rsidR="009C6A95" w:rsidRDefault="009C6A95" w:rsidP="009C6A95"/>
    <w:p w:rsidR="000067D0" w:rsidRPr="009C6A95" w:rsidRDefault="000067D0" w:rsidP="000067D0">
      <w:pPr>
        <w:rPr>
          <w:b/>
        </w:rPr>
      </w:pPr>
      <w:r w:rsidRPr="009C6A95">
        <w:rPr>
          <w:b/>
        </w:rPr>
        <w:lastRenderedPageBreak/>
        <w:t xml:space="preserve">Przykład na szczegółowość zapisów dotyczących budżetu: </w:t>
      </w:r>
    </w:p>
    <w:p w:rsidR="000067D0" w:rsidRDefault="000067D0" w:rsidP="000067D0">
      <w:r>
        <w:t xml:space="preserve">Okres trwania projektu 8 miesięcy, liczba uczestników 60 osób. </w:t>
      </w:r>
    </w:p>
    <w:p w:rsidR="000067D0" w:rsidRDefault="000067D0" w:rsidP="000067D0">
      <w:r>
        <w:t>Przedmiotem projektu są szkolenia, maja być przeprowadzone trzy rodzaje szkoleń.</w:t>
      </w:r>
    </w:p>
    <w:p w:rsidR="000067D0" w:rsidRDefault="000067D0" w:rsidP="000067D0">
      <w:r>
        <w:t>Szkolenie A – 20 osób, 2 razy w tygodniu po 4 godziny przez 6 miesięcy,</w:t>
      </w:r>
    </w:p>
    <w:p w:rsidR="000067D0" w:rsidRDefault="000067D0" w:rsidP="000067D0">
      <w:r>
        <w:t>Szkolenie B – 20 osób, 3 razy w tygodniu po 2 godziny przez 5 miesięcy,</w:t>
      </w:r>
    </w:p>
    <w:p w:rsidR="000067D0" w:rsidRDefault="000067D0" w:rsidP="000067D0">
      <w:r>
        <w:t xml:space="preserve">Szkolenie C </w:t>
      </w:r>
      <w:r w:rsidR="00811BFE">
        <w:t>–</w:t>
      </w:r>
      <w:r>
        <w:t xml:space="preserve"> </w:t>
      </w:r>
      <w:r w:rsidR="00811BFE">
        <w:t>20 osób, 2 razy w tygodniu po 3 godziny przez 6 miesięcy (usługa zlecona).</w:t>
      </w:r>
    </w:p>
    <w:p w:rsidR="00811BFE" w:rsidRDefault="00811BFE" w:rsidP="000067D0">
      <w:r>
        <w:t>Ważne jest podanie, że w ramach projektu ma być zadanie merytoryczne zlecane na zewnątrz. Brak takiego zapisu może być podstawą do uznania wydatku za niekwalifikowany koszt.</w:t>
      </w:r>
    </w:p>
    <w:p w:rsidR="002F606D" w:rsidRDefault="002F606D" w:rsidP="000067D0"/>
    <w:p w:rsidR="009C6A95" w:rsidRDefault="002F606D" w:rsidP="002F606D">
      <w:pPr>
        <w:jc w:val="center"/>
        <w:rPr>
          <w:b/>
        </w:rPr>
      </w:pPr>
      <w:r>
        <w:rPr>
          <w:b/>
        </w:rPr>
        <w:t xml:space="preserve">Mierniki </w:t>
      </w:r>
    </w:p>
    <w:p w:rsidR="002F606D" w:rsidRDefault="002F606D" w:rsidP="002F606D">
      <w:r>
        <w:t xml:space="preserve">W UE przyjęto dla projektów współfinansowanych ze środków funduszy UE formę budżetu zadaniowego. </w:t>
      </w:r>
      <w:r w:rsidRPr="002F606D">
        <w:rPr>
          <w:b/>
        </w:rPr>
        <w:t>Budżetowanie zadaniowe</w:t>
      </w:r>
      <w:r>
        <w:t xml:space="preserve"> jest metodą budżetowania, łączącą środki finansowe przeznaczone na realizację zadania z mierzalnymi wynikami. Zadanie jest dzielone na podzadania lub działania. Do każdej tak określonej części należy przypisać:</w:t>
      </w:r>
    </w:p>
    <w:p w:rsidR="002F606D" w:rsidRDefault="002F606D" w:rsidP="002F606D">
      <w:pPr>
        <w:pStyle w:val="Akapitzlist"/>
        <w:numPr>
          <w:ilvl w:val="0"/>
          <w:numId w:val="4"/>
        </w:numPr>
      </w:pPr>
      <w:r>
        <w:t>cele, które planuje się osiągnąć,</w:t>
      </w:r>
    </w:p>
    <w:p w:rsidR="002F606D" w:rsidRDefault="002F606D" w:rsidP="002F606D">
      <w:pPr>
        <w:pStyle w:val="Akapitzlist"/>
        <w:numPr>
          <w:ilvl w:val="0"/>
          <w:numId w:val="4"/>
        </w:numPr>
      </w:pPr>
      <w:r>
        <w:t>mierniki opisujące stopień osiągnięcia celów,</w:t>
      </w:r>
    </w:p>
    <w:p w:rsidR="002F606D" w:rsidRDefault="002F606D" w:rsidP="002F606D">
      <w:pPr>
        <w:pStyle w:val="Akapitzlist"/>
        <w:numPr>
          <w:ilvl w:val="0"/>
          <w:numId w:val="4"/>
        </w:numPr>
      </w:pPr>
      <w:r>
        <w:t>wydatki</w:t>
      </w:r>
      <w:r w:rsidR="00617B2E">
        <w:t xml:space="preserve"> planowane na dany rok i kolejne lata, podaje się limit kosztów na każde zadanie,</w:t>
      </w:r>
    </w:p>
    <w:p w:rsidR="00617B2E" w:rsidRDefault="00617B2E" w:rsidP="002F606D">
      <w:pPr>
        <w:pStyle w:val="Akapitzlist"/>
        <w:numPr>
          <w:ilvl w:val="0"/>
          <w:numId w:val="4"/>
        </w:numPr>
      </w:pPr>
      <w:r>
        <w:t>źródła finansowania planowanych wydatków,</w:t>
      </w:r>
    </w:p>
    <w:p w:rsidR="00617B2E" w:rsidRDefault="00617B2E" w:rsidP="002F606D">
      <w:pPr>
        <w:pStyle w:val="Akapitzlist"/>
        <w:numPr>
          <w:ilvl w:val="0"/>
          <w:numId w:val="4"/>
        </w:numPr>
      </w:pPr>
      <w:r>
        <w:t>jednostki wykonujące zadanie.</w:t>
      </w:r>
    </w:p>
    <w:p w:rsidR="00617B2E" w:rsidRDefault="00617B2E" w:rsidP="00080E08">
      <w:pPr>
        <w:ind w:firstLine="360"/>
      </w:pPr>
      <w:r>
        <w:t xml:space="preserve">Charakterystyczne dla takiego budżetu jest zarządzanie wydatkami tak, aby zwiększyć skuteczność i efektywność. Stąd ważne są mierniki, w tym mierniki skuteczności i mierniki efektywności. </w:t>
      </w:r>
      <w:r w:rsidRPr="00617B2E">
        <w:rPr>
          <w:b/>
        </w:rPr>
        <w:t>Mierniki skuteczności</w:t>
      </w:r>
      <w:r>
        <w:t xml:space="preserve"> wskazują stopień osiągnięcia zamierzonych celów. </w:t>
      </w:r>
      <w:r w:rsidRPr="00617B2E">
        <w:rPr>
          <w:b/>
        </w:rPr>
        <w:t>Mierniki efektywności</w:t>
      </w:r>
      <w:r>
        <w:t xml:space="preserve"> przedstawiają zależność pomiędzy nakładami a osiągniętymi wynikami. Zgodnie Z metodologią przyjętą w UE i OECD mierniki są dzielone na trzy stopnie w zależności od poziomu ogólności celów jakim służą – mierniki oddziaływania, rezultatu, produktu.</w:t>
      </w:r>
    </w:p>
    <w:p w:rsidR="00B63FB1" w:rsidRDefault="00080E08" w:rsidP="00B63FB1">
      <w:pPr>
        <w:ind w:firstLine="345"/>
      </w:pPr>
      <w:r>
        <w:rPr>
          <w:b/>
        </w:rPr>
        <w:t>Mierniki oddziaływania</w:t>
      </w:r>
      <w:r>
        <w:t xml:space="preserve"> mierzą długofalowe konsekwencje zadania. Mogą mierzyć bezpośrednie skutki wykonania zadania, które ujawnią się w dłuższym okresie. Są one trudne do określenia, mogą na nie wpływać także inne czynniki. Przykładem mogą być: stopa bezrobocia, eksport wyrobów wysoko zaawansowanych technologicznie jako procent PKB. </w:t>
      </w:r>
    </w:p>
    <w:p w:rsidR="00B63FB1" w:rsidRDefault="00080E08" w:rsidP="00B63FB1">
      <w:pPr>
        <w:ind w:firstLine="345"/>
      </w:pPr>
      <w:r>
        <w:rPr>
          <w:b/>
        </w:rPr>
        <w:t xml:space="preserve">Mierniki rezultatu </w:t>
      </w:r>
      <w:r>
        <w:t xml:space="preserve">mierzą efekty uzyskane w wyniku podjętych działań objętych zadaniem finansowanym odpowiednimi środkami. Przykładem może być skrócenie czasu </w:t>
      </w:r>
      <w:r>
        <w:lastRenderedPageBreak/>
        <w:t xml:space="preserve">przejazdu w wyniku remontu drogi, zmniejszenie kosztów leczenia w wyniku zastosowania działań prozdrowotnych. </w:t>
      </w:r>
    </w:p>
    <w:p w:rsidR="00080E08" w:rsidRDefault="00080E08" w:rsidP="00B63FB1">
      <w:pPr>
        <w:ind w:firstLine="345"/>
      </w:pPr>
      <w:r>
        <w:rPr>
          <w:b/>
        </w:rPr>
        <w:t xml:space="preserve">Mierniki produktu </w:t>
      </w:r>
      <w:r w:rsidRPr="00080E08">
        <w:t>mierzą wykonanie danego</w:t>
      </w:r>
      <w:r>
        <w:t xml:space="preserve"> zadania w krótkim okresie </w:t>
      </w:r>
      <w:r w:rsidR="00275084">
        <w:t>i pokazują konkretne, wyprodukowane dobro i świadczone usługi, np. wybudowanie 1 km drogi, koszt dowiezienia dziecka do szkoły.</w:t>
      </w:r>
    </w:p>
    <w:p w:rsidR="00275084" w:rsidRDefault="00275084" w:rsidP="00080E08">
      <w:pPr>
        <w:ind w:firstLine="360"/>
      </w:pPr>
      <w:r>
        <w:t xml:space="preserve">W literaturze obok terminu miernik używane jest określenie </w:t>
      </w:r>
      <w:r w:rsidRPr="00B63FB1">
        <w:rPr>
          <w:b/>
        </w:rPr>
        <w:t>wskaźnik.</w:t>
      </w:r>
      <w:r>
        <w:t xml:space="preserve"> </w:t>
      </w:r>
      <w:r w:rsidR="006053A5">
        <w:t>Różnica polega na tym, że miernik wskazuje bezpośrednio określoną wartość, zwykle liczbę danej cechy, a wskaźnik stosunek dwóch cech o tych samych mianach, np. relację bezrobotnych do aktywnych zawodowo.</w:t>
      </w:r>
    </w:p>
    <w:p w:rsidR="00275084" w:rsidRDefault="00275084" w:rsidP="00080E08">
      <w:pPr>
        <w:ind w:firstLine="360"/>
      </w:pPr>
      <w:r>
        <w:t>We wszystkich programach operacyjnych współfinansowanych ze środków UE występuje obowiązek sporządzenia budżetu zadaniowego czyli budżetu przedstawionego w podziale na zadania. Zadanie jest rozumiane jako samodzielna jednostka w sposób pełny przyczyniająca się do osiągnięcia celu projektu. Proces konstruowania zadań determinowany jest przez cele, które mają być zgodne z techniką SMART (przypomnę: konkretne, wymierne, realne, akceptowalne, określone w czasie). Dla każdego zadania wskazuje się limit kosztów jakie zostaną poniesione na jego wypełnienie.</w:t>
      </w:r>
    </w:p>
    <w:p w:rsidR="00E61232" w:rsidRDefault="00275084" w:rsidP="00080E08">
      <w:pPr>
        <w:ind w:firstLine="360"/>
      </w:pPr>
      <w:r w:rsidRPr="00B63FB1">
        <w:rPr>
          <w:b/>
        </w:rPr>
        <w:t>Koszty w budżecie</w:t>
      </w:r>
      <w:r>
        <w:t xml:space="preserve"> </w:t>
      </w:r>
      <w:r w:rsidR="0033314B">
        <w:t xml:space="preserve">ujmowane są w podziale na koszty bezpośrednie i koszty pośrednie. I taki podział kosztów przedstawia beneficjent we wniosku o dofinansowanie projektu. </w:t>
      </w:r>
      <w:r w:rsidR="0033314B" w:rsidRPr="00B63FB1">
        <w:rPr>
          <w:b/>
        </w:rPr>
        <w:t xml:space="preserve">Koszty bezpośrednie </w:t>
      </w:r>
      <w:r w:rsidR="0033314B">
        <w:t>czyli koszty kwalifikowane poszczególnych zadań w ramach projektu</w:t>
      </w:r>
      <w:r w:rsidR="00E61232">
        <w:t>, np. koszty rekrutacji uczestników, wynagrodzenie osób prowadzących szkolenie, materiały szkoleniowe</w:t>
      </w:r>
      <w:r w:rsidR="0033314B">
        <w:t xml:space="preserve">. </w:t>
      </w:r>
      <w:r w:rsidR="0033314B" w:rsidRPr="00B63FB1">
        <w:rPr>
          <w:b/>
        </w:rPr>
        <w:t>Koszty pośrednie</w:t>
      </w:r>
      <w:r w:rsidR="0033314B">
        <w:t xml:space="preserve"> to koszty związane z obsługą techniczną projektu, których nie można bezpośrednio przyporządkować do konkretnego zadania w ramach projektu. Są nazywane kosztami ogólnymi, stałymi – obciążają one projekt nie zwiększając jego wartości. </w:t>
      </w:r>
      <w:r w:rsidR="00E61232">
        <w:t>Należą do nich np. usługi pocztowe, telefoniczne, internetowe, obsługa księgowa.</w:t>
      </w:r>
    </w:p>
    <w:p w:rsidR="00275084" w:rsidRDefault="00F618A4" w:rsidP="00080E08">
      <w:pPr>
        <w:ind w:firstLine="360"/>
      </w:pPr>
      <w:r>
        <w:t>W projekcie uwzględnia się także koszty zarządzania projektem, w tym wynagrodzenie koordynatora projektu, wynagrodzenie pracownika ds. obsługi finansowej, koszty prowadzenia rachunku bankowego, koszty promocji projektu, zakup sprzętu lub wartości niematerialnych związanych z zarządzaniem projektem.</w:t>
      </w:r>
      <w:r w:rsidR="00E61232">
        <w:t xml:space="preserve"> Taka kategoria wydatków zalicz asie do kosztów bezpośrednich.</w:t>
      </w:r>
    </w:p>
    <w:p w:rsidR="00E61232" w:rsidRDefault="00E61232" w:rsidP="00E61232">
      <w:pPr>
        <w:ind w:firstLine="360"/>
        <w:jc w:val="center"/>
      </w:pPr>
    </w:p>
    <w:p w:rsidR="00E61232" w:rsidRDefault="00E61232" w:rsidP="00E61232">
      <w:pPr>
        <w:rPr>
          <w:b/>
        </w:rPr>
      </w:pPr>
      <w:r>
        <w:rPr>
          <w:b/>
        </w:rPr>
        <w:t>Temat: Zarządzanie finansowe projektem europejskim.</w:t>
      </w:r>
    </w:p>
    <w:p w:rsidR="00E61232" w:rsidRDefault="00E61232" w:rsidP="00E61232"/>
    <w:p w:rsidR="00E61232" w:rsidRDefault="00E61232" w:rsidP="001576F4">
      <w:pPr>
        <w:ind w:firstLine="708"/>
      </w:pPr>
      <w:r>
        <w:t>Zarządzanie finansowe projektem to proces decyzyjny włączony w całokształt zarządzania finansami danego podmiotu, który opi</w:t>
      </w:r>
      <w:r w:rsidR="008C3762">
        <w:t>e</w:t>
      </w:r>
      <w:r>
        <w:t xml:space="preserve">ra się na wykorzystaniu różnych narzędzi, </w:t>
      </w:r>
      <w:r>
        <w:lastRenderedPageBreak/>
        <w:t xml:space="preserve">technik, kryteriów, reguł postępowania oraz zjawisk związanych z gromadzeniem i wydatkowaniem zasobów pieniężnych na określony cel. </w:t>
      </w:r>
      <w:r w:rsidR="008C3762">
        <w:t>W</w:t>
      </w:r>
      <w:r w:rsidR="001576F4">
        <w:t xml:space="preserve"> ramach tego procesu us</w:t>
      </w:r>
      <w:r w:rsidR="008C3762">
        <w:t>tala się zależności między wydatkami a przychodami związanymi z projektem, jak i określa się jego wpływ na finanse podmiotu-beneficjenta. Na finanse beneficjenta mogą mieć wpływ źródła finansowania, przyjęty montaż finansowy, forma płatności – refundacja czy płatność zaliczkowa. Należy wziąć pod uwagę różnice kursowe, rozliczenia z partnerami, pracownikami, podwykonawcami. Przy projekcie europejskim ma być prowadzona odrębna ewidencja księgowa i w większości projektów ma być otworzony wyodrębniony rachunek bankowy. Taki rachunek jest przeznaczony do wyłącznej obsługi projektu. Koszty prowadzenia rachunku bankowego, jego obsługi należą do wydatków kwalifikowanych.</w:t>
      </w:r>
    </w:p>
    <w:p w:rsidR="008C3762" w:rsidRDefault="008C3762" w:rsidP="00E61232">
      <w:r>
        <w:tab/>
        <w:t xml:space="preserve">Elementem zarządzania finansowego jest </w:t>
      </w:r>
      <w:r w:rsidRPr="008C3762">
        <w:rPr>
          <w:b/>
        </w:rPr>
        <w:t>montaż finansowy</w:t>
      </w:r>
      <w:r>
        <w:rPr>
          <w:b/>
        </w:rPr>
        <w:t xml:space="preserve"> projektu. </w:t>
      </w:r>
      <w:r>
        <w:t>Polega on na zidentyfikowaniu możliwych źródeł finansowania projektu oraz określeniu ich procentowego udziału. Montaż finansowy jest to inaczej strateg</w:t>
      </w:r>
      <w:r w:rsidR="0097441D">
        <w:t>ia finansowania projektów uwzglę</w:t>
      </w:r>
      <w:r>
        <w:t>dniająca własne i obce źródła finansowania.</w:t>
      </w:r>
      <w:r w:rsidR="00FE4DBC">
        <w:t xml:space="preserve"> Przygotowanie montażu finansowego rozpoczyna się od określenia posiadanych środków własnych i koniecznych wydatków związanych z projektem, Następnie dzieli się koszty na kwalifikowane i niekwalifikowane oraz określa się lukę w finansowaniu.</w:t>
      </w:r>
      <w:r w:rsidR="00050D86">
        <w:t xml:space="preserve"> Montaż finansowy wynika z ograniczeń w finansowych i zasady dodatkowości przy współfinansowaniu z środków funduszy UE. </w:t>
      </w:r>
      <w:r w:rsidR="00050D86" w:rsidRPr="00050D86">
        <w:rPr>
          <w:i/>
        </w:rPr>
        <w:t xml:space="preserve">Przypominam, że zasada dodatkowości </w:t>
      </w:r>
      <w:r w:rsidR="00050D86">
        <w:rPr>
          <w:i/>
        </w:rPr>
        <w:t xml:space="preserve">oznacza, że fundusze strukturalne UE pokrywają tylko część kosztów poszczególnych projektów, pozostała kwota musi pochodzić ze środków własnych beneficjenta pomocy. </w:t>
      </w:r>
      <w:r w:rsidR="00050D86">
        <w:t>Wsparcie UE nie może przekraczać określonej procentowo kwoty tzw. wydatków kwalifikowanych. Wysokość pomocy zależy od: rodzaju funduszu, rodzaju beneficjenta, geograficznego położenia beneficjenta (</w:t>
      </w:r>
      <w:r w:rsidR="00050D86" w:rsidRPr="00050D86">
        <w:rPr>
          <w:i/>
        </w:rPr>
        <w:t>podział na region</w:t>
      </w:r>
      <w:r w:rsidR="00050D86">
        <w:rPr>
          <w:i/>
        </w:rPr>
        <w:t>ów na</w:t>
      </w:r>
      <w:r w:rsidR="00050D86" w:rsidRPr="00050D86">
        <w:rPr>
          <w:i/>
        </w:rPr>
        <w:t xml:space="preserve"> trzy</w:t>
      </w:r>
      <w:r w:rsidR="00050D86">
        <w:rPr>
          <w:i/>
        </w:rPr>
        <w:t xml:space="preserve"> kategorie przy EFRR), </w:t>
      </w:r>
      <w:r w:rsidR="00050D86">
        <w:t>rodzaju projektu, występowania pomocy publicznej. Z tych względów należy przygotować taki montaż finansow</w:t>
      </w:r>
      <w:r w:rsidR="00D41BE3">
        <w:t>y</w:t>
      </w:r>
      <w:r w:rsidR="00050D86">
        <w:t xml:space="preserve">, który poza </w:t>
      </w:r>
      <w:r w:rsidR="00D41BE3">
        <w:t xml:space="preserve"> funduszami UE bierze pod uwagę krajową pomoc regionalną, wkład własny beneficjenta.</w:t>
      </w:r>
      <w:r w:rsidR="00BB2B16">
        <w:t xml:space="preserve"> </w:t>
      </w:r>
      <w:r w:rsidR="00BB2B16">
        <w:rPr>
          <w:b/>
        </w:rPr>
        <w:t>Wkład własny</w:t>
      </w:r>
      <w:r w:rsidR="00BB2B16">
        <w:t xml:space="preserve"> może obejmować kapitał własny, kapitał obcy, system poręczeń, gwarancji i zabezpieczeń transakcji.</w:t>
      </w:r>
    </w:p>
    <w:p w:rsidR="001576F4" w:rsidRPr="00BB2B16" w:rsidRDefault="001576F4" w:rsidP="00E61232"/>
    <w:p w:rsidR="00BB2B16" w:rsidRDefault="00BB2B16" w:rsidP="00E61232">
      <w:pPr>
        <w:rPr>
          <w:b/>
        </w:rPr>
      </w:pPr>
      <w:r>
        <w:rPr>
          <w:b/>
        </w:rPr>
        <w:t xml:space="preserve">Kapitał własny: </w:t>
      </w:r>
    </w:p>
    <w:p w:rsidR="00D41BE3" w:rsidRDefault="00BB2B16" w:rsidP="00BB2B16">
      <w:pPr>
        <w:pStyle w:val="Akapitzlist"/>
        <w:numPr>
          <w:ilvl w:val="0"/>
          <w:numId w:val="5"/>
        </w:numPr>
      </w:pPr>
      <w:r>
        <w:t xml:space="preserve">w przypadku przedsiębiorstw to samofinansowanie czyli pokrywanie wydatków z bieżących przychodów. </w:t>
      </w:r>
    </w:p>
    <w:p w:rsidR="00BB2B16" w:rsidRDefault="00BB2B16" w:rsidP="00BB2B16">
      <w:pPr>
        <w:pStyle w:val="Akapitzlist"/>
        <w:numPr>
          <w:ilvl w:val="0"/>
          <w:numId w:val="5"/>
        </w:numPr>
      </w:pPr>
      <w:r>
        <w:t>W przypadku podmiotów publicznych to nadwyżka roku budżetowego czyli nadwyżka dochodów nad wydatkami budżetowymi.</w:t>
      </w:r>
    </w:p>
    <w:p w:rsidR="00B63FB1" w:rsidRDefault="00B63FB1" w:rsidP="00B63FB1"/>
    <w:p w:rsidR="00BB2B16" w:rsidRDefault="00BB2B16" w:rsidP="00BB2B16">
      <w:pPr>
        <w:rPr>
          <w:b/>
        </w:rPr>
      </w:pPr>
      <w:r>
        <w:rPr>
          <w:b/>
        </w:rPr>
        <w:lastRenderedPageBreak/>
        <w:t>Instrumenty finansowe i system poręczeń, zabezpieczeń i gwarancji</w:t>
      </w:r>
    </w:p>
    <w:p w:rsidR="00BB2B16" w:rsidRDefault="00BB2B16" w:rsidP="00BB2B16">
      <w:pPr>
        <w:pStyle w:val="Akapitzlist"/>
        <w:numPr>
          <w:ilvl w:val="0"/>
          <w:numId w:val="6"/>
        </w:numPr>
      </w:pPr>
      <w:r>
        <w:t>Kredyt pomostowy – oferowany przez banki beneficjentowi pomocy z UE, którzy muszą dysponować środkami, aby skorzystać z funduszy. Przyznanie kredytu pomostowego zależy od podpisania przez wnioskodawcę umowy o dofinansowanie. Należność kredytowa z umowy kredytu zabezpieczona jest cesją praw z umowy o dofinansowanie</w:t>
      </w:r>
      <w:r w:rsidR="00AD22AC">
        <w:t xml:space="preserve"> oraz dodatkowo istnieje zabezpieczenie na majątku wnioskodawcy. O kredyt na inwestycje dofinansowane ze środków UE można ubiegać się przed otrzymaniem dofinansowania.</w:t>
      </w:r>
    </w:p>
    <w:p w:rsidR="00AD22AC" w:rsidRDefault="00AD22AC" w:rsidP="00BB2B16">
      <w:pPr>
        <w:pStyle w:val="Akapitzlist"/>
        <w:numPr>
          <w:ilvl w:val="0"/>
          <w:numId w:val="6"/>
        </w:numPr>
      </w:pPr>
      <w:r>
        <w:t>Poręczenia i gwarancje – udzielane przez banki, instytucje ubezpieczeniowe, fundusze powiernicze, Skarb Państwa i Bank Gospodarstwa Krajowego</w:t>
      </w:r>
      <w:r w:rsidR="00E85F9E">
        <w:t xml:space="preserve"> (BGK)</w:t>
      </w:r>
      <w:r>
        <w:t xml:space="preserve">. </w:t>
      </w:r>
      <w:r w:rsidR="00E85F9E">
        <w:t>Mają one ułatwić dostęp do finansowania zewnętrznego w postaci kredytów, emisji obligacji, zawarcia transakcji zabezpieczających przed ryzykiem, wypłaty odszkodowań. BGK udziela gwarancji w ramach rządowych programów rozwoju społeczno-gospodarczego, programów rozwoju regio</w:t>
      </w:r>
      <w:r w:rsidR="008455F4">
        <w:t xml:space="preserve">nalnego i samorządów lokalnych, które obejmują projekty współfinansowane z funduszy UE. </w:t>
      </w:r>
      <w:r w:rsidR="00B8453F">
        <w:t xml:space="preserve">Gwarancja </w:t>
      </w:r>
      <w:r w:rsidR="00AE743D">
        <w:t xml:space="preserve">jest wydawana przez BGK na wniosek wykonawcy </w:t>
      </w:r>
      <w:r w:rsidR="005B73DB">
        <w:t>przedsięwzięcia i stanowi zabezpieczenie na wypadek, gdyby wnioskodawca nie wykonał przedsięwzięcia zgodnie z umową. Gwarancja jest wydawana na okres uzgodniony indywidualnie z wnioskodawcą.</w:t>
      </w:r>
    </w:p>
    <w:p w:rsidR="005B73DB" w:rsidRDefault="005B73DB" w:rsidP="005B73DB">
      <w:r>
        <w:t>Wymienione źród</w:t>
      </w:r>
      <w:r w:rsidR="001576F4">
        <w:t>ła</w:t>
      </w:r>
      <w:r>
        <w:t xml:space="preserve"> pozyskiwania środków mają zabezpieczyć płynność finansową projektu w odniesieniu do kosztów kwalifikowanych i niekwalifikowanych.</w:t>
      </w:r>
    </w:p>
    <w:p w:rsidR="001576F4" w:rsidRDefault="001576F4" w:rsidP="005B73DB"/>
    <w:p w:rsidR="005B73DB" w:rsidRDefault="005B73DB" w:rsidP="005B73DB">
      <w:pPr>
        <w:jc w:val="left"/>
        <w:rPr>
          <w:b/>
        </w:rPr>
      </w:pPr>
      <w:r w:rsidRPr="005B73DB">
        <w:rPr>
          <w:b/>
        </w:rPr>
        <w:t>Przykład montażu finansowego.</w:t>
      </w:r>
    </w:p>
    <w:tbl>
      <w:tblPr>
        <w:tblStyle w:val="Tabela-Siatka"/>
        <w:tblW w:w="0" w:type="auto"/>
        <w:tblLook w:val="04A0"/>
      </w:tblPr>
      <w:tblGrid>
        <w:gridCol w:w="2605"/>
        <w:gridCol w:w="5867"/>
      </w:tblGrid>
      <w:tr w:rsidR="005B73DB" w:rsidTr="00747712">
        <w:tc>
          <w:tcPr>
            <w:tcW w:w="0" w:type="auto"/>
          </w:tcPr>
          <w:p w:rsidR="005B73DB" w:rsidRDefault="005B73DB" w:rsidP="005B73DB"/>
        </w:tc>
        <w:tc>
          <w:tcPr>
            <w:tcW w:w="5867" w:type="dxa"/>
          </w:tcPr>
          <w:p w:rsidR="005B73DB" w:rsidRDefault="00747712" w:rsidP="005B73DB">
            <w:r>
              <w:t>Dofinansowanie z funduszy UE: 93.500 zł</w:t>
            </w:r>
          </w:p>
        </w:tc>
      </w:tr>
      <w:tr w:rsidR="005B73DB" w:rsidTr="00747712">
        <w:tc>
          <w:tcPr>
            <w:tcW w:w="0" w:type="auto"/>
          </w:tcPr>
          <w:p w:rsidR="005B73DB" w:rsidRDefault="00747712" w:rsidP="005B73DB">
            <w:r>
              <w:t>Wydatki kwalifikowane</w:t>
            </w:r>
          </w:p>
          <w:p w:rsidR="00747712" w:rsidRDefault="00747712" w:rsidP="005B73DB">
            <w:r>
              <w:t>110.000 zł</w:t>
            </w:r>
          </w:p>
        </w:tc>
        <w:tc>
          <w:tcPr>
            <w:tcW w:w="5867" w:type="dxa"/>
          </w:tcPr>
          <w:p w:rsidR="005B73DB" w:rsidRDefault="00747712" w:rsidP="005B73DB">
            <w:r>
              <w:t>Wkład własny            Środki własne 6.000 zł</w:t>
            </w:r>
          </w:p>
          <w:p w:rsidR="00747712" w:rsidRDefault="00747712" w:rsidP="005B73DB">
            <w:r>
              <w:t>16.500 zł                   Wkład rzeczowy 5.500 zł</w:t>
            </w:r>
          </w:p>
          <w:p w:rsidR="00747712" w:rsidRDefault="00747712" w:rsidP="005B73DB">
            <w:r>
              <w:t xml:space="preserve">                                 Kredyt bankowy (bez odsetek) 5.000 zł</w:t>
            </w:r>
          </w:p>
        </w:tc>
      </w:tr>
      <w:tr w:rsidR="005B73DB" w:rsidTr="00747712">
        <w:tc>
          <w:tcPr>
            <w:tcW w:w="0" w:type="auto"/>
          </w:tcPr>
          <w:p w:rsidR="005B73DB" w:rsidRDefault="00747712" w:rsidP="005B73DB">
            <w:r>
              <w:t>Wydatki niekwalifikowane</w:t>
            </w:r>
          </w:p>
          <w:p w:rsidR="00747712" w:rsidRDefault="00747712" w:rsidP="005B73DB">
            <w:r>
              <w:t>40.000 zł</w:t>
            </w:r>
          </w:p>
        </w:tc>
        <w:tc>
          <w:tcPr>
            <w:tcW w:w="5867" w:type="dxa"/>
          </w:tcPr>
          <w:p w:rsidR="005B73DB" w:rsidRDefault="00747712" w:rsidP="005B73DB">
            <w:r>
              <w:t>Środki własne 25.000 zł</w:t>
            </w:r>
          </w:p>
          <w:p w:rsidR="00747712" w:rsidRDefault="00747712" w:rsidP="005B73DB">
            <w:r>
              <w:t>Kredyt bankowy + odsetki od kredytu + VAT: 15.000 zł</w:t>
            </w:r>
          </w:p>
        </w:tc>
      </w:tr>
    </w:tbl>
    <w:p w:rsidR="005B73DB" w:rsidRDefault="005B73DB" w:rsidP="005B73DB"/>
    <w:p w:rsidR="00141C03" w:rsidRDefault="00141C03" w:rsidP="005B73DB">
      <w:r>
        <w:t>Przypominam o zasadzie dodatkowości przy projekcie o łącznych wydatkach (kwalifikowanych i niekwalifikowanych) odpowiadających 150.000 zł. Beneficjent musi pokryć  całość wydatków niekwalifikowanych i część wydatków kwalifikowanych wkładem własnym. W tym przykładzie na wkład własny składają się środki własne beneficjenta</w:t>
      </w:r>
      <w:r w:rsidR="00914B92">
        <w:t xml:space="preserve">, wkład rzeczowy i kredyt bankowy. </w:t>
      </w:r>
    </w:p>
    <w:p w:rsidR="00EF3EDA" w:rsidRDefault="00EF3EDA" w:rsidP="005B73DB">
      <w:pPr>
        <w:rPr>
          <w:b/>
        </w:rPr>
      </w:pPr>
      <w:r w:rsidRPr="00EF3EDA">
        <w:rPr>
          <w:b/>
        </w:rPr>
        <w:lastRenderedPageBreak/>
        <w:t>Formy dofinansowania z funduszy UE</w:t>
      </w:r>
    </w:p>
    <w:p w:rsidR="00EF3EDA" w:rsidRDefault="00EF3EDA" w:rsidP="005B73DB">
      <w:r>
        <w:t xml:space="preserve">Dofinansowanie z środków UE udzielane jest w formie </w:t>
      </w:r>
    </w:p>
    <w:p w:rsidR="00EF3EDA" w:rsidRDefault="000112EA" w:rsidP="00EF3EDA">
      <w:pPr>
        <w:pStyle w:val="Akapitzlist"/>
        <w:numPr>
          <w:ilvl w:val="0"/>
          <w:numId w:val="7"/>
        </w:numPr>
      </w:pPr>
      <w:r>
        <w:t>z</w:t>
      </w:r>
      <w:r w:rsidR="00EF3EDA">
        <w:t xml:space="preserve">aliczki przekazywanej beneficjentowi na podstawie umowy o dofinansowanie. Zaliczka może być przekazana w jednej  lub kilku transzach. Beneficjent musi ustanowić i wnieść zabezpieczenie należytego wykonania zobowiązań wynikających z umowy o dofinansowanie. Zabezpieczenie </w:t>
      </w:r>
      <w:r>
        <w:t>może być w formie weksla In blanco z deklaracją wekslową, poręczeń bankowych lub poręczeń spółdzielczej kasy oszczędnościowo-kredytowej, gwarancji bankowych, zastawu na papierach wartościowych emitowanych przez Skarb Państwa, zastawu rejestrowego, hipoteki lub cesji praw z ubezpieczenia nieruchomości;</w:t>
      </w:r>
    </w:p>
    <w:p w:rsidR="000112EA" w:rsidRDefault="000112EA" w:rsidP="00EF3EDA">
      <w:pPr>
        <w:pStyle w:val="Akapitzlist"/>
        <w:numPr>
          <w:ilvl w:val="0"/>
          <w:numId w:val="7"/>
        </w:numPr>
      </w:pPr>
      <w:r>
        <w:t>refundacji wydatków przekazywane beneficjentowi na podstawie zweryfikowanego przez właściwą instytucję wniosku o płatność. Kwota refundacji dotyczy wydatków beneficjenta uznanych za kwalifikowane przez właściwą instytucję.</w:t>
      </w:r>
    </w:p>
    <w:p w:rsidR="00054AF4" w:rsidRDefault="00C653CB" w:rsidP="00054AF4">
      <w:r>
        <w:t>W systemie przepływu środków przeznaczonych na dofinansowanie projektów w ramach programów operacyjnych istotną rolę odgrywa instytucja płatnicza.</w:t>
      </w:r>
    </w:p>
    <w:p w:rsidR="0060617F" w:rsidRDefault="0060617F" w:rsidP="00054AF4"/>
    <w:sectPr w:rsidR="0060617F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8F1"/>
    <w:multiLevelType w:val="hybridMultilevel"/>
    <w:tmpl w:val="4BC8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72E0"/>
    <w:multiLevelType w:val="hybridMultilevel"/>
    <w:tmpl w:val="74C8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40DE"/>
    <w:multiLevelType w:val="hybridMultilevel"/>
    <w:tmpl w:val="8B14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545D"/>
    <w:multiLevelType w:val="hybridMultilevel"/>
    <w:tmpl w:val="5C2ED0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B36B81"/>
    <w:multiLevelType w:val="hybridMultilevel"/>
    <w:tmpl w:val="043EF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B41B8"/>
    <w:multiLevelType w:val="hybridMultilevel"/>
    <w:tmpl w:val="CDFC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0518"/>
    <w:multiLevelType w:val="hybridMultilevel"/>
    <w:tmpl w:val="3B72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109B"/>
    <w:multiLevelType w:val="hybridMultilevel"/>
    <w:tmpl w:val="56B4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671C0"/>
    <w:multiLevelType w:val="hybridMultilevel"/>
    <w:tmpl w:val="588A3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2893"/>
    <w:rsid w:val="000067D0"/>
    <w:rsid w:val="000112EA"/>
    <w:rsid w:val="00050D86"/>
    <w:rsid w:val="00054AF4"/>
    <w:rsid w:val="00080E08"/>
    <w:rsid w:val="000D7BB8"/>
    <w:rsid w:val="00141C03"/>
    <w:rsid w:val="001576F4"/>
    <w:rsid w:val="00275084"/>
    <w:rsid w:val="002F606D"/>
    <w:rsid w:val="003242EB"/>
    <w:rsid w:val="0033314B"/>
    <w:rsid w:val="003B2893"/>
    <w:rsid w:val="004D152E"/>
    <w:rsid w:val="005A009F"/>
    <w:rsid w:val="005B73DB"/>
    <w:rsid w:val="006053A5"/>
    <w:rsid w:val="0060617F"/>
    <w:rsid w:val="00617B2E"/>
    <w:rsid w:val="00747712"/>
    <w:rsid w:val="007F2B77"/>
    <w:rsid w:val="00811BFE"/>
    <w:rsid w:val="008271D6"/>
    <w:rsid w:val="008455F4"/>
    <w:rsid w:val="00890454"/>
    <w:rsid w:val="008C3762"/>
    <w:rsid w:val="008C7698"/>
    <w:rsid w:val="00914B92"/>
    <w:rsid w:val="0097441D"/>
    <w:rsid w:val="009C6A95"/>
    <w:rsid w:val="00A47B15"/>
    <w:rsid w:val="00AD22AC"/>
    <w:rsid w:val="00AE5218"/>
    <w:rsid w:val="00AE743D"/>
    <w:rsid w:val="00B63FB1"/>
    <w:rsid w:val="00B8453F"/>
    <w:rsid w:val="00BB2B16"/>
    <w:rsid w:val="00C26B0D"/>
    <w:rsid w:val="00C653CB"/>
    <w:rsid w:val="00CC5AEC"/>
    <w:rsid w:val="00D40738"/>
    <w:rsid w:val="00D41BE3"/>
    <w:rsid w:val="00DB3D71"/>
    <w:rsid w:val="00E61232"/>
    <w:rsid w:val="00E85F9E"/>
    <w:rsid w:val="00EF3EDA"/>
    <w:rsid w:val="00EF62F0"/>
    <w:rsid w:val="00F618A4"/>
    <w:rsid w:val="00F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BB8"/>
    <w:pPr>
      <w:ind w:left="720"/>
      <w:contextualSpacing/>
    </w:pPr>
  </w:style>
  <w:style w:type="table" w:styleId="Tabela-Siatka">
    <w:name w:val="Table Grid"/>
    <w:basedOn w:val="Standardowy"/>
    <w:uiPriority w:val="59"/>
    <w:rsid w:val="005B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2020-04-06T22:28:00Z</dcterms:created>
  <dcterms:modified xsi:type="dcterms:W3CDTF">2020-04-06T22:28:00Z</dcterms:modified>
</cp:coreProperties>
</file>