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CD" w:rsidRPr="00552DC1" w:rsidRDefault="00A75349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552DC1">
        <w:rPr>
          <w:rFonts w:asciiTheme="majorHAnsi" w:eastAsia="Verdana" w:hAnsiTheme="majorHAnsi" w:cs="Times New Roman"/>
          <w:sz w:val="24"/>
          <w:szCs w:val="24"/>
        </w:rPr>
        <w:t>Constitution-making</w:t>
      </w:r>
      <w:r w:rsidR="00552DC1" w:rsidRPr="00552DC1">
        <w:rPr>
          <w:rFonts w:asciiTheme="majorHAnsi" w:eastAsia="Verdana" w:hAnsiTheme="majorHAnsi" w:cs="Times New Roman"/>
          <w:sz w:val="24"/>
          <w:szCs w:val="24"/>
        </w:rPr>
        <w:t xml:space="preserve"> and </w:t>
      </w:r>
      <w:r w:rsidR="00552DC1">
        <w:rPr>
          <w:rFonts w:asciiTheme="majorHAnsi" w:eastAsia="Verdana" w:hAnsiTheme="majorHAnsi" w:cs="Times New Roman"/>
          <w:sz w:val="24"/>
          <w:szCs w:val="24"/>
        </w:rPr>
        <w:t>c</w:t>
      </w:r>
      <w:r w:rsidRPr="00552DC1">
        <w:rPr>
          <w:rFonts w:asciiTheme="majorHAnsi" w:eastAsia="Verdana" w:hAnsiTheme="majorHAnsi" w:cs="Times New Roman"/>
          <w:sz w:val="24"/>
          <w:szCs w:val="24"/>
        </w:rPr>
        <w:t>onstitutional amendments</w:t>
      </w:r>
      <w:bookmarkStart w:id="0" w:name="_GoBack"/>
    </w:p>
    <w:p w:rsidR="00F374D3" w:rsidRDefault="00F374D3" w:rsidP="00552DC1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Primacy of EU law</w:t>
      </w:r>
      <w:r w:rsidR="00C6676D">
        <w:rPr>
          <w:rFonts w:asciiTheme="majorHAnsi" w:eastAsia="Verdana" w:hAnsiTheme="majorHAnsi" w:cs="Times New Roman"/>
          <w:sz w:val="24"/>
          <w:szCs w:val="24"/>
        </w:rPr>
        <w:t xml:space="preserve"> v. supremacy of national constitutions</w:t>
      </w:r>
    </w:p>
    <w:p w:rsidR="00552DC1" w:rsidRPr="00990C9C" w:rsidRDefault="00552DC1" w:rsidP="00552DC1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990C9C">
        <w:rPr>
          <w:rFonts w:asciiTheme="majorHAnsi" w:eastAsia="Verdana" w:hAnsiTheme="majorHAnsi" w:cs="Times New Roman"/>
          <w:sz w:val="24"/>
          <w:szCs w:val="24"/>
        </w:rPr>
        <w:t>Sources of EU law</w:t>
      </w:r>
    </w:p>
    <w:p w:rsidR="00552DC1" w:rsidRPr="00990C9C" w:rsidRDefault="00552DC1" w:rsidP="00552DC1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Sources of international human rights law</w:t>
      </w:r>
    </w:p>
    <w:p w:rsidR="00552DC1" w:rsidRPr="00990C9C" w:rsidRDefault="00552DC1" w:rsidP="00552DC1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990C9C">
        <w:rPr>
          <w:rFonts w:asciiTheme="majorHAnsi" w:eastAsia="Verdana" w:hAnsiTheme="majorHAnsi" w:cs="Times New Roman"/>
          <w:sz w:val="24"/>
          <w:szCs w:val="24"/>
        </w:rPr>
        <w:t>Rule of law</w:t>
      </w:r>
      <w:r>
        <w:rPr>
          <w:rFonts w:asciiTheme="majorHAnsi" w:eastAsia="Verdana" w:hAnsiTheme="majorHAnsi" w:cs="Times New Roman"/>
          <w:sz w:val="24"/>
          <w:szCs w:val="24"/>
        </w:rPr>
        <w:t xml:space="preserve"> as the core value in the EU</w:t>
      </w:r>
    </w:p>
    <w:bookmarkEnd w:id="0"/>
    <w:p w:rsidR="00552DC1" w:rsidRDefault="00552DC1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Charter of Fundamental Rights of the European Union</w:t>
      </w:r>
    </w:p>
    <w:p w:rsidR="00F374D3" w:rsidRDefault="00F374D3" w:rsidP="00F374D3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990C9C">
        <w:rPr>
          <w:rFonts w:asciiTheme="majorHAnsi" w:eastAsia="Verdana" w:hAnsiTheme="majorHAnsi" w:cs="Times New Roman"/>
          <w:sz w:val="24"/>
          <w:szCs w:val="24"/>
        </w:rPr>
        <w:t>European Convention of Human Rights and its impact on domestic legal systems</w:t>
      </w:r>
    </w:p>
    <w:p w:rsidR="00A607CD" w:rsidRPr="00990C9C" w:rsidRDefault="00A75349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990C9C">
        <w:rPr>
          <w:rFonts w:asciiTheme="majorHAnsi" w:eastAsia="Verdana" w:hAnsiTheme="majorHAnsi" w:cs="Times New Roman"/>
          <w:sz w:val="24"/>
          <w:szCs w:val="24"/>
        </w:rPr>
        <w:t>Separation of powers</w:t>
      </w:r>
    </w:p>
    <w:p w:rsidR="00A607CD" w:rsidRPr="00990C9C" w:rsidRDefault="00A75349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990C9C">
        <w:rPr>
          <w:rFonts w:asciiTheme="majorHAnsi" w:eastAsia="Verdana" w:hAnsiTheme="majorHAnsi" w:cs="Times New Roman"/>
          <w:sz w:val="24"/>
          <w:szCs w:val="24"/>
        </w:rPr>
        <w:t>Executive power</w:t>
      </w:r>
    </w:p>
    <w:p w:rsidR="00A607CD" w:rsidRPr="00990C9C" w:rsidRDefault="00A75349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990C9C">
        <w:rPr>
          <w:rFonts w:asciiTheme="majorHAnsi" w:eastAsia="Verdana" w:hAnsiTheme="majorHAnsi" w:cs="Times New Roman"/>
          <w:sz w:val="24"/>
          <w:szCs w:val="24"/>
        </w:rPr>
        <w:t>Legislative power</w:t>
      </w:r>
    </w:p>
    <w:p w:rsidR="00F374D3" w:rsidRPr="00990C9C" w:rsidRDefault="00F374D3" w:rsidP="00F374D3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Systems of government: p</w:t>
      </w:r>
      <w:r w:rsidRPr="00990C9C">
        <w:rPr>
          <w:rFonts w:asciiTheme="majorHAnsi" w:eastAsia="Verdana" w:hAnsiTheme="majorHAnsi" w:cs="Times New Roman"/>
          <w:sz w:val="24"/>
          <w:szCs w:val="24"/>
        </w:rPr>
        <w:t>residentialism, semi-presidentialism and parliamentarism</w:t>
      </w:r>
    </w:p>
    <w:p w:rsidR="00F374D3" w:rsidRDefault="00F374D3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Federal/unitary states v. the right to seccession</w:t>
      </w:r>
    </w:p>
    <w:p w:rsidR="00A607CD" w:rsidRPr="00990C9C" w:rsidRDefault="00A75349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990C9C">
        <w:rPr>
          <w:rFonts w:asciiTheme="majorHAnsi" w:eastAsia="Verdana" w:hAnsiTheme="majorHAnsi" w:cs="Times New Roman"/>
          <w:sz w:val="24"/>
          <w:szCs w:val="24"/>
        </w:rPr>
        <w:t>Constitutional courts and judicial review</w:t>
      </w:r>
    </w:p>
    <w:p w:rsidR="00C6676D" w:rsidRPr="00990C9C" w:rsidRDefault="00C6676D" w:rsidP="00C6676D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 xml:space="preserve">Constitutional identity and </w:t>
      </w:r>
      <w:r w:rsidRPr="00C6676D">
        <w:rPr>
          <w:rFonts w:asciiTheme="majorHAnsi" w:eastAsia="Verdana" w:hAnsiTheme="majorHAnsi" w:cs="Times New Roman"/>
          <w:i/>
          <w:sz w:val="24"/>
          <w:szCs w:val="24"/>
        </w:rPr>
        <w:t>ultra vires</w:t>
      </w:r>
      <w:r>
        <w:rPr>
          <w:rFonts w:asciiTheme="majorHAnsi" w:eastAsia="Verdana" w:hAnsiTheme="majorHAnsi" w:cs="Times New Roman"/>
          <w:sz w:val="24"/>
          <w:szCs w:val="24"/>
        </w:rPr>
        <w:t xml:space="preserve"> review in the EU</w:t>
      </w:r>
    </w:p>
    <w:p w:rsidR="00A607CD" w:rsidRPr="00990C9C" w:rsidRDefault="00F374D3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Limitations of human rights</w:t>
      </w:r>
    </w:p>
    <w:p w:rsidR="00A607CD" w:rsidRPr="00990C9C" w:rsidRDefault="00A75349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990C9C">
        <w:rPr>
          <w:rFonts w:asciiTheme="majorHAnsi" w:eastAsia="Verdana" w:hAnsiTheme="majorHAnsi" w:cs="Times New Roman"/>
          <w:sz w:val="24"/>
          <w:szCs w:val="24"/>
        </w:rPr>
        <w:t>Rights of EU citizens</w:t>
      </w:r>
    </w:p>
    <w:p w:rsidR="00990C9C" w:rsidRPr="00990C9C" w:rsidRDefault="00F374D3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Responsibility to protect in international law</w:t>
      </w:r>
    </w:p>
    <w:p w:rsidR="00A607CD" w:rsidRPr="00990C9C" w:rsidRDefault="00A75349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990C9C">
        <w:rPr>
          <w:rFonts w:asciiTheme="majorHAnsi" w:eastAsia="Verdana" w:hAnsiTheme="majorHAnsi" w:cs="Times New Roman"/>
          <w:sz w:val="24"/>
          <w:szCs w:val="24"/>
        </w:rPr>
        <w:t>The role of the Venice Commission in the Council of Europe</w:t>
      </w:r>
    </w:p>
    <w:p w:rsidR="00C6676D" w:rsidRPr="00990C9C" w:rsidRDefault="00C6676D" w:rsidP="00C6676D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Standards of judicial independence in the Council of Europe</w:t>
      </w:r>
    </w:p>
    <w:p w:rsidR="00C6676D" w:rsidRDefault="00C6676D" w:rsidP="00C6676D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Human dignity – meaning and interpretation in selected case-law</w:t>
      </w:r>
      <w:r w:rsidRPr="00F374D3">
        <w:rPr>
          <w:rFonts w:asciiTheme="majorHAnsi" w:eastAsia="Verdana" w:hAnsiTheme="majorHAnsi" w:cs="Times New Roman"/>
          <w:sz w:val="24"/>
          <w:szCs w:val="24"/>
        </w:rPr>
        <w:t xml:space="preserve"> </w:t>
      </w:r>
    </w:p>
    <w:p w:rsidR="00C6676D" w:rsidRPr="00C6676D" w:rsidRDefault="00C6676D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Prohibition of torture, inhuman and degrading treatment and punishment</w:t>
      </w:r>
    </w:p>
    <w:p w:rsidR="00990C9C" w:rsidRPr="00990C9C" w:rsidRDefault="00F374D3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Women’s rights as human rights – sources, realization</w:t>
      </w:r>
    </w:p>
    <w:p w:rsidR="00C6676D" w:rsidRPr="00990C9C" w:rsidRDefault="00C6676D" w:rsidP="00C6676D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Minority rights / group rights protection in the Council of Europe</w:t>
      </w:r>
    </w:p>
    <w:p w:rsidR="00F374D3" w:rsidRPr="00990C9C" w:rsidRDefault="00F374D3" w:rsidP="00F374D3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Populism as a challenge to human rights.</w:t>
      </w:r>
    </w:p>
    <w:p w:rsidR="00F374D3" w:rsidRPr="00990C9C" w:rsidRDefault="00F374D3" w:rsidP="00F374D3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990C9C">
        <w:rPr>
          <w:rFonts w:asciiTheme="majorHAnsi" w:eastAsia="Verdana" w:hAnsiTheme="majorHAnsi" w:cs="Times New Roman"/>
          <w:sz w:val="24"/>
          <w:szCs w:val="24"/>
        </w:rPr>
        <w:t>Referendu</w:t>
      </w:r>
      <w:r>
        <w:rPr>
          <w:rFonts w:asciiTheme="majorHAnsi" w:eastAsia="Verdana" w:hAnsiTheme="majorHAnsi" w:cs="Times New Roman"/>
          <w:sz w:val="24"/>
          <w:szCs w:val="24"/>
        </w:rPr>
        <w:t>m as a form of direct democracy</w:t>
      </w:r>
    </w:p>
    <w:p w:rsidR="00F374D3" w:rsidRDefault="00C6676D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Judicial dialogues and constitutional borrowing</w:t>
      </w:r>
    </w:p>
    <w:p w:rsidR="00C6676D" w:rsidRDefault="00C6676D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Transitional justice</w:t>
      </w:r>
    </w:p>
    <w:p w:rsidR="00C6676D" w:rsidRDefault="00C6676D" w:rsidP="00990C9C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Emergency powers</w:t>
      </w:r>
    </w:p>
    <w:p w:rsidR="00C6676D" w:rsidRPr="00990C9C" w:rsidRDefault="00C6676D" w:rsidP="00C6676D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 w:rsidRPr="00990C9C">
        <w:rPr>
          <w:rFonts w:asciiTheme="majorHAnsi" w:eastAsia="Verdana" w:hAnsiTheme="majorHAnsi" w:cs="Times New Roman"/>
          <w:sz w:val="24"/>
          <w:szCs w:val="24"/>
        </w:rPr>
        <w:t>Horizontal protection of human rights</w:t>
      </w:r>
    </w:p>
    <w:p w:rsidR="00C6676D" w:rsidRDefault="00C6676D">
      <w:pPr>
        <w:pStyle w:val="ListParagraph"/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spacing w:line="331" w:lineRule="auto"/>
        <w:jc w:val="both"/>
        <w:rPr>
          <w:rFonts w:asciiTheme="majorHAnsi" w:eastAsia="Verdana" w:hAnsiTheme="majorHAnsi" w:cs="Times New Roman"/>
          <w:sz w:val="24"/>
          <w:szCs w:val="24"/>
        </w:rPr>
      </w:pPr>
      <w:r>
        <w:rPr>
          <w:rFonts w:asciiTheme="majorHAnsi" w:eastAsia="Verdana" w:hAnsiTheme="majorHAnsi" w:cs="Times New Roman"/>
          <w:sz w:val="24"/>
          <w:szCs w:val="24"/>
        </w:rPr>
        <w:t>Current problems with privacy protection</w:t>
      </w:r>
    </w:p>
    <w:p w:rsidR="00C6676D" w:rsidRPr="00C6676D" w:rsidRDefault="00C6676D" w:rsidP="00C6676D">
      <w:pPr>
        <w:pBdr>
          <w:bottom w:val="none" w:sz="0" w:space="10" w:color="auto"/>
        </w:pBdr>
        <w:shd w:val="clear" w:color="auto" w:fill="FFFFFF"/>
        <w:spacing w:line="331" w:lineRule="auto"/>
        <w:ind w:left="720"/>
        <w:jc w:val="both"/>
        <w:rPr>
          <w:rFonts w:asciiTheme="majorHAnsi" w:eastAsia="Verdana" w:hAnsiTheme="majorHAnsi" w:cs="Times New Roman"/>
          <w:sz w:val="24"/>
          <w:szCs w:val="24"/>
        </w:rPr>
      </w:pPr>
    </w:p>
    <w:sectPr w:rsidR="00C6676D" w:rsidRPr="00C6676D">
      <w:headerReference w:type="default" r:id="rId8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CF" w:rsidRDefault="00B321CF" w:rsidP="00F24656">
      <w:pPr>
        <w:spacing w:line="240" w:lineRule="auto"/>
      </w:pPr>
      <w:r>
        <w:separator/>
      </w:r>
    </w:p>
  </w:endnote>
  <w:endnote w:type="continuationSeparator" w:id="0">
    <w:p w:rsidR="00B321CF" w:rsidRDefault="00B321CF" w:rsidP="00F24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CF" w:rsidRDefault="00B321CF" w:rsidP="00F24656">
      <w:pPr>
        <w:spacing w:line="240" w:lineRule="auto"/>
      </w:pPr>
      <w:r>
        <w:separator/>
      </w:r>
    </w:p>
  </w:footnote>
  <w:footnote w:type="continuationSeparator" w:id="0">
    <w:p w:rsidR="00B321CF" w:rsidRDefault="00B321CF" w:rsidP="00F24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56" w:rsidRDefault="00F24656" w:rsidP="00F24656">
    <w:pPr>
      <w:pBdr>
        <w:bottom w:val="none" w:sz="0" w:space="10" w:color="auto"/>
      </w:pBdr>
      <w:shd w:val="clear" w:color="auto" w:fill="FFFFFF"/>
      <w:spacing w:line="331" w:lineRule="auto"/>
      <w:jc w:val="both"/>
      <w:rPr>
        <w:rFonts w:asciiTheme="majorHAnsi" w:eastAsia="Verdana" w:hAnsiTheme="majorHAnsi" w:cs="Times New Roman"/>
        <w:sz w:val="24"/>
        <w:szCs w:val="24"/>
      </w:rPr>
    </w:pPr>
  </w:p>
  <w:p w:rsidR="00F24656" w:rsidRDefault="00F24656" w:rsidP="00F24656">
    <w:pPr>
      <w:pBdr>
        <w:bottom w:val="none" w:sz="0" w:space="10" w:color="auto"/>
      </w:pBdr>
      <w:shd w:val="clear" w:color="auto" w:fill="FFFFFF"/>
      <w:spacing w:line="331" w:lineRule="auto"/>
      <w:jc w:val="both"/>
      <w:rPr>
        <w:rFonts w:asciiTheme="majorHAnsi" w:eastAsia="Verdana" w:hAnsiTheme="majorHAnsi" w:cs="Times New Roman"/>
        <w:sz w:val="24"/>
        <w:szCs w:val="24"/>
      </w:rPr>
    </w:pPr>
    <w:r>
      <w:rPr>
        <w:rFonts w:asciiTheme="majorHAnsi" w:eastAsia="Verdana" w:hAnsiTheme="majorHAnsi" w:cs="Times New Roman"/>
        <w:sz w:val="24"/>
        <w:szCs w:val="24"/>
      </w:rPr>
      <w:t>LLM in International and European Law 2020/21</w:t>
    </w:r>
  </w:p>
  <w:p w:rsidR="00F24656" w:rsidRDefault="00F24656" w:rsidP="00F24656">
    <w:pPr>
      <w:pBdr>
        <w:bottom w:val="none" w:sz="0" w:space="10" w:color="auto"/>
      </w:pBdr>
      <w:shd w:val="clear" w:color="auto" w:fill="FFFFFF"/>
      <w:spacing w:line="331" w:lineRule="auto"/>
      <w:jc w:val="both"/>
    </w:pPr>
    <w:r>
      <w:rPr>
        <w:rFonts w:asciiTheme="majorHAnsi" w:eastAsia="Verdana" w:hAnsiTheme="majorHAnsi" w:cs="Times New Roman"/>
        <w:sz w:val="24"/>
        <w:szCs w:val="24"/>
      </w:rPr>
      <w:t>Dr hab. Anna Śledzińska-Simon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DE6"/>
    <w:multiLevelType w:val="hybridMultilevel"/>
    <w:tmpl w:val="EFCA97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1E2D10"/>
    <w:multiLevelType w:val="multilevel"/>
    <w:tmpl w:val="E9481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CD"/>
    <w:rsid w:val="002529F3"/>
    <w:rsid w:val="00552DC1"/>
    <w:rsid w:val="007922F3"/>
    <w:rsid w:val="007E0750"/>
    <w:rsid w:val="00990C9C"/>
    <w:rsid w:val="00A607CD"/>
    <w:rsid w:val="00A75349"/>
    <w:rsid w:val="00B321CF"/>
    <w:rsid w:val="00C6676D"/>
    <w:rsid w:val="00F24656"/>
    <w:rsid w:val="00F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90C9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465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656"/>
  </w:style>
  <w:style w:type="paragraph" w:styleId="Footer">
    <w:name w:val="footer"/>
    <w:basedOn w:val="Normal"/>
    <w:link w:val="FooterChar"/>
    <w:uiPriority w:val="99"/>
    <w:unhideWhenUsed/>
    <w:rsid w:val="00F2465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656"/>
  </w:style>
  <w:style w:type="paragraph" w:styleId="BalloonText">
    <w:name w:val="Balloon Text"/>
    <w:basedOn w:val="Normal"/>
    <w:link w:val="BalloonTextChar"/>
    <w:uiPriority w:val="99"/>
    <w:semiHidden/>
    <w:unhideWhenUsed/>
    <w:rsid w:val="00F246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90C9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465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656"/>
  </w:style>
  <w:style w:type="paragraph" w:styleId="Footer">
    <w:name w:val="footer"/>
    <w:basedOn w:val="Normal"/>
    <w:link w:val="FooterChar"/>
    <w:uiPriority w:val="99"/>
    <w:unhideWhenUsed/>
    <w:rsid w:val="00F2465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656"/>
  </w:style>
  <w:style w:type="paragraph" w:styleId="BalloonText">
    <w:name w:val="Balloon Text"/>
    <w:basedOn w:val="Normal"/>
    <w:link w:val="BalloonTextChar"/>
    <w:uiPriority w:val="99"/>
    <w:semiHidden/>
    <w:unhideWhenUsed/>
    <w:rsid w:val="00F246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Śledzińska-Simon</dc:creator>
  <cp:lastModifiedBy>Dell</cp:lastModifiedBy>
  <cp:revision>5</cp:revision>
  <dcterms:created xsi:type="dcterms:W3CDTF">2020-10-13T11:56:00Z</dcterms:created>
  <dcterms:modified xsi:type="dcterms:W3CDTF">2020-10-13T12:08:00Z</dcterms:modified>
</cp:coreProperties>
</file>