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>mgr Katarzyna Zawidzka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Katedra Prawa Karnego Materialnego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Wydzia</w:t>
      </w:r>
      <w:r>
        <w:rPr>
          <w:rFonts w:hAnsi="Times New Roman" w:hint="default"/>
          <w:sz w:val="20"/>
          <w:szCs w:val="20"/>
          <w:rtl w:val="0"/>
        </w:rPr>
        <w:t xml:space="preserve">ł </w:t>
      </w:r>
      <w:r>
        <w:rPr>
          <w:rFonts w:ascii="Times New Roman"/>
          <w:sz w:val="20"/>
          <w:szCs w:val="20"/>
          <w:rtl w:val="0"/>
        </w:rPr>
        <w:t xml:space="preserve">Prawa, Administracji i Ekonomii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Uniwersytetu Wroc</w:t>
      </w:r>
      <w:r>
        <w:rPr>
          <w:rFonts w:hAnsi="Times New Roman" w:hint="default"/>
          <w:sz w:val="20"/>
          <w:szCs w:val="20"/>
          <w:rtl w:val="0"/>
        </w:rPr>
        <w:t>ł</w:t>
      </w:r>
      <w:r>
        <w:rPr>
          <w:rFonts w:ascii="Times New Roman"/>
          <w:sz w:val="20"/>
          <w:szCs w:val="20"/>
          <w:rtl w:val="0"/>
        </w:rPr>
        <w:t xml:space="preserve">awskiego 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pok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j 508, budynek A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ul. Uniwersytecka 22/26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/>
          <w:sz w:val="20"/>
          <w:szCs w:val="20"/>
          <w:rtl w:val="0"/>
        </w:rPr>
        <w:t>50-145 Wroc</w:t>
      </w:r>
      <w:r>
        <w:rPr>
          <w:rFonts w:hAnsi="Times New Roman" w:hint="default"/>
          <w:sz w:val="20"/>
          <w:szCs w:val="20"/>
          <w:rtl w:val="0"/>
        </w:rPr>
        <w:t>ł</w:t>
      </w:r>
      <w:r>
        <w:rPr>
          <w:rFonts w:ascii="Times New Roman"/>
          <w:sz w:val="20"/>
          <w:szCs w:val="20"/>
          <w:rtl w:val="0"/>
        </w:rPr>
        <w:t>aw</w:t>
      </w:r>
    </w:p>
    <w:p>
      <w:pPr>
        <w:pStyle w:val="Normal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</w:rPr>
        <w:t>HARMONOGRAM ZAJ</w:t>
      </w:r>
      <w:r>
        <w:rPr>
          <w:rFonts w:hAnsi="Times New Roman" w:hint="default"/>
          <w:b w:val="1"/>
          <w:bCs w:val="1"/>
          <w:sz w:val="20"/>
          <w:szCs w:val="20"/>
          <w:rtl w:val="0"/>
        </w:rPr>
        <w:t xml:space="preserve">ĘĆ </w:t>
      </w:r>
      <w:r>
        <w:rPr>
          <w:rFonts w:ascii="Times New Roman"/>
          <w:b w:val="1"/>
          <w:bCs w:val="1"/>
          <w:sz w:val="20"/>
          <w:szCs w:val="20"/>
          <w:rtl w:val="0"/>
        </w:rPr>
        <w:t>Z PRZEDMIOTU "PRAWO KARNE"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  <w:br w:type="textWrapping"/>
      </w:r>
      <w:r>
        <w:rPr>
          <w:rFonts w:ascii="Times New Roman"/>
          <w:b w:val="1"/>
          <w:bCs w:val="1"/>
          <w:sz w:val="20"/>
          <w:szCs w:val="20"/>
          <w:rtl w:val="0"/>
        </w:rPr>
        <w:t>Studia Niestacjonarne Administracji, III rok, grupa 1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  <w:br w:type="textWrapping"/>
      </w:r>
      <w:r>
        <w:rPr>
          <w:rFonts w:ascii="Times New Roman"/>
          <w:b w:val="1"/>
          <w:bCs w:val="1"/>
          <w:sz w:val="20"/>
          <w:szCs w:val="20"/>
          <w:rtl w:val="0"/>
        </w:rPr>
        <w:t>rok akademicki 2020/2021, semestr zimowy</w:t>
      </w: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Poj</w:t>
      </w:r>
      <w:r>
        <w:rPr>
          <w:rFonts w:hAnsi="Times New Roman" w:hint="default"/>
          <w:sz w:val="20"/>
          <w:szCs w:val="20"/>
          <w:rtl w:val="0"/>
        </w:rPr>
        <w:t>ę</w:t>
      </w:r>
      <w:r>
        <w:rPr>
          <w:rFonts w:ascii="Times New Roman"/>
          <w:sz w:val="20"/>
          <w:szCs w:val="20"/>
          <w:rtl w:val="0"/>
        </w:rPr>
        <w:t>cie oraz cele kary kryminalnej.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en-US"/>
        </w:rPr>
        <w:t xml:space="preserve">Kary, </w:t>
      </w:r>
      <w:r>
        <w:rPr>
          <w:rFonts w:hAnsi="Times New Roman" w:hint="default"/>
          <w:sz w:val="20"/>
          <w:szCs w:val="20"/>
          <w:rtl w:val="0"/>
        </w:rPr>
        <w:t>ś</w:t>
      </w:r>
      <w:r>
        <w:rPr>
          <w:rFonts w:ascii="Times New Roman"/>
          <w:sz w:val="20"/>
          <w:szCs w:val="20"/>
          <w:rtl w:val="0"/>
        </w:rPr>
        <w:t xml:space="preserve">rodki karne.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Przepadek i </w:t>
      </w:r>
      <w:r>
        <w:rPr>
          <w:rFonts w:hAnsi="Times New Roman" w:hint="default"/>
          <w:sz w:val="20"/>
          <w:szCs w:val="20"/>
          <w:rtl w:val="0"/>
        </w:rPr>
        <w:t>ś</w:t>
      </w:r>
      <w:r>
        <w:rPr>
          <w:rFonts w:ascii="Times New Roman"/>
          <w:sz w:val="20"/>
          <w:szCs w:val="20"/>
          <w:rtl w:val="0"/>
        </w:rPr>
        <w:t>rodki kompensacyjne.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Times New Roman" w:hint="default"/>
          <w:sz w:val="20"/>
          <w:szCs w:val="20"/>
          <w:rtl w:val="0"/>
        </w:rPr>
        <w:t>Ś</w:t>
      </w:r>
      <w:r>
        <w:rPr>
          <w:rFonts w:ascii="Times New Roman"/>
          <w:sz w:val="20"/>
          <w:szCs w:val="20"/>
          <w:rtl w:val="0"/>
        </w:rPr>
        <w:t>rodki zwi</w:t>
      </w:r>
      <w:r>
        <w:rPr>
          <w:rFonts w:hAnsi="Times New Roman" w:hint="default"/>
          <w:sz w:val="20"/>
          <w:szCs w:val="20"/>
          <w:rtl w:val="0"/>
        </w:rPr>
        <w:t>ą</w:t>
      </w:r>
      <w:r>
        <w:rPr>
          <w:rFonts w:ascii="Times New Roman"/>
          <w:sz w:val="20"/>
          <w:szCs w:val="20"/>
          <w:rtl w:val="0"/>
        </w:rPr>
        <w:t>zane z poddaniem sprawcy pr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 xml:space="preserve">bie.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Zasady wymiaru kary.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Og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 xml:space="preserve">lne dyrektywy wymiaru kary.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Dyrektywy szczeg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 xml:space="preserve">lne wymiaru kary.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Nadzwyczajne z</w:t>
      </w:r>
      <w:r>
        <w:rPr>
          <w:rFonts w:hAnsi="Times New Roman" w:hint="default"/>
          <w:sz w:val="20"/>
          <w:szCs w:val="20"/>
          <w:rtl w:val="0"/>
        </w:rPr>
        <w:t>ł</w:t>
      </w:r>
      <w:r>
        <w:rPr>
          <w:rFonts w:ascii="Times New Roman"/>
          <w:sz w:val="20"/>
          <w:szCs w:val="20"/>
          <w:rtl w:val="0"/>
        </w:rPr>
        <w:t>agodzenie kary.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Nadzwyczajne obostrzenie kary.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Przedawnienie karalno</w:t>
      </w:r>
      <w:r>
        <w:rPr>
          <w:rFonts w:hAnsi="Times New Roman" w:hint="default"/>
          <w:sz w:val="20"/>
          <w:szCs w:val="20"/>
          <w:rtl w:val="0"/>
        </w:rPr>
        <w:t>ś</w:t>
      </w:r>
      <w:r>
        <w:rPr>
          <w:rFonts w:ascii="Times New Roman"/>
          <w:sz w:val="20"/>
          <w:szCs w:val="20"/>
          <w:rtl w:val="0"/>
        </w:rPr>
        <w:t>ci.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Przedawnienie wykonania kary.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Abolicja.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Amnestia.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U</w:t>
      </w:r>
      <w:r>
        <w:rPr>
          <w:rFonts w:hAnsi="Times New Roman" w:hint="default"/>
          <w:sz w:val="20"/>
          <w:szCs w:val="20"/>
          <w:rtl w:val="0"/>
        </w:rPr>
        <w:t>ł</w:t>
      </w:r>
      <w:r>
        <w:rPr>
          <w:rFonts w:ascii="Times New Roman"/>
          <w:sz w:val="20"/>
          <w:szCs w:val="20"/>
          <w:rtl w:val="0"/>
        </w:rPr>
        <w:t xml:space="preserve">askawienie.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Zatarcie skazania.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hAnsi="Times New Roman" w:hint="default"/>
          <w:sz w:val="20"/>
          <w:szCs w:val="20"/>
          <w:rtl w:val="0"/>
        </w:rPr>
        <w:t>Ś</w:t>
      </w:r>
      <w:r>
        <w:rPr>
          <w:rFonts w:ascii="Times New Roman"/>
          <w:sz w:val="20"/>
          <w:szCs w:val="20"/>
          <w:rtl w:val="0"/>
        </w:rPr>
        <w:t>rodki zabezpieczaj</w:t>
      </w:r>
      <w:r>
        <w:rPr>
          <w:rFonts w:hAnsi="Times New Roman" w:hint="default"/>
          <w:sz w:val="20"/>
          <w:szCs w:val="20"/>
          <w:rtl w:val="0"/>
        </w:rPr>
        <w:t>ą</w:t>
      </w:r>
      <w:r>
        <w:rPr>
          <w:rFonts w:ascii="Times New Roman"/>
          <w:sz w:val="20"/>
          <w:szCs w:val="20"/>
          <w:rtl w:val="0"/>
        </w:rPr>
        <w:t xml:space="preserve">ce. </w:t>
      </w:r>
    </w:p>
    <w:p>
      <w:pPr>
        <w:pStyle w:val="List Paragraph"/>
        <w:numPr>
          <w:ilvl w:val="0"/>
          <w:numId w:val="3"/>
        </w:numPr>
        <w:tabs>
          <w:tab w:val="num" w:pos="756"/>
          <w:tab w:val="clear" w:pos="720"/>
        </w:tabs>
        <w:bidi w:val="0"/>
        <w:ind w:left="756" w:right="0" w:hanging="396"/>
        <w:jc w:val="left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Zasady traktowania i </w:t>
      </w:r>
      <w:r>
        <w:rPr>
          <w:rFonts w:hAnsi="Times New Roman" w:hint="default"/>
          <w:sz w:val="20"/>
          <w:szCs w:val="20"/>
          <w:rtl w:val="0"/>
        </w:rPr>
        <w:t>ś</w:t>
      </w:r>
      <w:r>
        <w:rPr>
          <w:rFonts w:ascii="Times New Roman"/>
          <w:sz w:val="20"/>
          <w:szCs w:val="20"/>
          <w:rtl w:val="0"/>
        </w:rPr>
        <w:t xml:space="preserve">rodki stosowane wobec nieletnich. </w:t>
      </w:r>
    </w:p>
    <w:p>
      <w:pPr>
        <w:pStyle w:val="List Paragrap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List Paragraph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</w:rPr>
        <w:t>Literatura zalecana:</w:t>
      </w:r>
    </w:p>
    <w:p>
      <w:pPr>
        <w:pStyle w:val="List Paragraph"/>
        <w:numPr>
          <w:ilvl w:val="0"/>
          <w:numId w:val="6"/>
        </w:numPr>
        <w:tabs>
          <w:tab w:val="num" w:pos="756"/>
          <w:tab w:val="clear" w:pos="720"/>
        </w:tabs>
        <w:bidi w:val="0"/>
        <w:ind w:left="756" w:right="0" w:hanging="39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M. Bojarski, J. Giezek, Z. Sienkiewicz, </w:t>
      </w:r>
      <w:r>
        <w:rPr>
          <w:rFonts w:ascii="Times New Roman"/>
          <w:i w:val="1"/>
          <w:iCs w:val="1"/>
          <w:sz w:val="20"/>
          <w:szCs w:val="20"/>
          <w:rtl w:val="0"/>
        </w:rPr>
        <w:t>Prawo karne materialne. Cze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̨</w:t>
      </w:r>
      <w:r>
        <w:rPr>
          <w:rFonts w:ascii="Times New Roman"/>
          <w:i w:val="1"/>
          <w:iCs w:val="1"/>
          <w:sz w:val="20"/>
          <w:szCs w:val="20"/>
          <w:rtl w:val="0"/>
        </w:rPr>
        <w:t>s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́</w:t>
      </w:r>
      <w:r>
        <w:rPr>
          <w:rFonts w:ascii="Times New Roman"/>
          <w:i w:val="1"/>
          <w:iCs w:val="1"/>
          <w:sz w:val="20"/>
          <w:szCs w:val="20"/>
          <w:rtl w:val="0"/>
        </w:rPr>
        <w:t>c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 xml:space="preserve">́ </w:t>
      </w:r>
      <w:r>
        <w:rPr>
          <w:rFonts w:ascii="Times New Roman"/>
          <w:i w:val="1"/>
          <w:iCs w:val="1"/>
          <w:sz w:val="20"/>
          <w:szCs w:val="20"/>
          <w:rtl w:val="0"/>
        </w:rPr>
        <w:t>ogo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́</w:t>
      </w:r>
      <w:r>
        <w:rPr>
          <w:rFonts w:ascii="Times New Roman"/>
          <w:i w:val="1"/>
          <w:iCs w:val="1"/>
          <w:sz w:val="20"/>
          <w:szCs w:val="20"/>
          <w:rtl w:val="0"/>
        </w:rPr>
        <w:t>lna i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 </w:t>
      </w:r>
      <w:r>
        <w:rPr>
          <w:rFonts w:ascii="Times New Roman"/>
          <w:i w:val="1"/>
          <w:iCs w:val="1"/>
          <w:sz w:val="20"/>
          <w:szCs w:val="20"/>
          <w:rtl w:val="0"/>
        </w:rPr>
        <w:t>szczego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́</w:t>
      </w:r>
      <w:r>
        <w:rPr>
          <w:rFonts w:ascii="Times New Roman"/>
          <w:i w:val="1"/>
          <w:iCs w:val="1"/>
          <w:sz w:val="20"/>
          <w:szCs w:val="20"/>
          <w:rtl w:val="0"/>
        </w:rPr>
        <w:t>lna</w:t>
      </w:r>
      <w:r>
        <w:rPr>
          <w:rFonts w:ascii="Times New Roman"/>
          <w:sz w:val="20"/>
          <w:szCs w:val="20"/>
          <w:rtl w:val="0"/>
        </w:rPr>
        <w:t>, Warszawa 2017;</w:t>
      </w:r>
    </w:p>
    <w:p>
      <w:pPr>
        <w:pStyle w:val="List Paragraph"/>
        <w:numPr>
          <w:ilvl w:val="0"/>
          <w:numId w:val="6"/>
        </w:numPr>
        <w:tabs>
          <w:tab w:val="num" w:pos="756"/>
          <w:tab w:val="clear" w:pos="720"/>
        </w:tabs>
        <w:bidi w:val="0"/>
        <w:ind w:left="756" w:right="0" w:hanging="396"/>
        <w:jc w:val="both"/>
        <w:rPr>
          <w:rFonts w:ascii="Times New Roman" w:cs="Times New Roman" w:hAnsi="Times New Roman" w:eastAsia="Times New Roman"/>
          <w:position w:val="0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J. Giezek (red.), </w:t>
      </w:r>
      <w:r>
        <w:rPr>
          <w:rFonts w:ascii="Times New Roman"/>
          <w:i w:val="1"/>
          <w:iCs w:val="1"/>
          <w:sz w:val="20"/>
          <w:szCs w:val="20"/>
          <w:rtl w:val="0"/>
        </w:rPr>
        <w:t>Kodeks karny. Cze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̨</w:t>
      </w:r>
      <w:r>
        <w:rPr>
          <w:rFonts w:ascii="Times New Roman"/>
          <w:i w:val="1"/>
          <w:iCs w:val="1"/>
          <w:sz w:val="20"/>
          <w:szCs w:val="20"/>
          <w:rtl w:val="0"/>
        </w:rPr>
        <w:t>s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́</w:t>
      </w:r>
      <w:r>
        <w:rPr>
          <w:rFonts w:ascii="Times New Roman"/>
          <w:i w:val="1"/>
          <w:iCs w:val="1"/>
          <w:sz w:val="20"/>
          <w:szCs w:val="20"/>
          <w:rtl w:val="0"/>
        </w:rPr>
        <w:t>c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 xml:space="preserve">́ </w:t>
      </w:r>
      <w:r>
        <w:rPr>
          <w:rFonts w:ascii="Times New Roman"/>
          <w:i w:val="1"/>
          <w:iCs w:val="1"/>
          <w:sz w:val="20"/>
          <w:szCs w:val="20"/>
          <w:rtl w:val="0"/>
        </w:rPr>
        <w:t>ogo</w:t>
      </w:r>
      <w:r>
        <w:rPr>
          <w:rFonts w:hAnsi="Times New Roman" w:hint="default"/>
          <w:i w:val="1"/>
          <w:iCs w:val="1"/>
          <w:sz w:val="20"/>
          <w:szCs w:val="20"/>
          <w:rtl w:val="0"/>
        </w:rPr>
        <w:t>́</w:t>
      </w:r>
      <w:r>
        <w:rPr>
          <w:rFonts w:ascii="Times New Roman"/>
          <w:i w:val="1"/>
          <w:iCs w:val="1"/>
          <w:sz w:val="20"/>
          <w:szCs w:val="20"/>
          <w:rtl w:val="0"/>
        </w:rPr>
        <w:t>lna. Komentarz</w:t>
      </w:r>
      <w:r>
        <w:rPr>
          <w:rFonts w:ascii="Times New Roman"/>
          <w:sz w:val="20"/>
          <w:szCs w:val="20"/>
          <w:rtl w:val="0"/>
        </w:rPr>
        <w:t>, Warszawa 2012.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position w:val="0"/>
        <w:sz w:val="20"/>
        <w:szCs w:val="2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position w:val="0"/>
        <w:sz w:val="20"/>
        <w:szCs w:val="2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position w:val="0"/>
        <w:sz w:val="20"/>
        <w:szCs w:val="2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tabs>
          <w:tab w:val="num" w:pos="1380"/>
          <w:tab w:val="clear" w:pos="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suff w:val="tab"/>
      <w:lvlText w:val="%3."/>
      <w:lvlJc w:val="left"/>
      <w:pPr>
        <w:tabs>
          <w:tab w:val="num" w:pos="2111"/>
          <w:tab w:val="clear" w:pos="0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suff w:val="tab"/>
      <w:lvlText w:val="%4."/>
      <w:lvlJc w:val="left"/>
      <w:pPr>
        <w:tabs>
          <w:tab w:val="num" w:pos="2820"/>
          <w:tab w:val="clear" w:pos="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  <w:tab w:val="clear" w:pos="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suff w:val="tab"/>
      <w:lvlText w:val="%6."/>
      <w:lvlJc w:val="left"/>
      <w:pPr>
        <w:tabs>
          <w:tab w:val="num" w:pos="4271"/>
          <w:tab w:val="clear" w:pos="0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suff w:val="tab"/>
      <w:lvlText w:val="%7."/>
      <w:lvlJc w:val="left"/>
      <w:pPr>
        <w:tabs>
          <w:tab w:val="num" w:pos="4980"/>
          <w:tab w:val="clear" w:pos="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suff w:val="tab"/>
      <w:lvlText w:val="%8."/>
      <w:lvlJc w:val="left"/>
      <w:pPr>
        <w:tabs>
          <w:tab w:val="num" w:pos="5700"/>
          <w:tab w:val="clear" w:pos="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suff w:val="tab"/>
      <w:lvlText w:val="%9."/>
      <w:lvlJc w:val="left"/>
      <w:pPr>
        <w:tabs>
          <w:tab w:val="num" w:pos="6431"/>
          <w:tab w:val="clear" w:pos="0"/>
        </w:tabs>
        <w:ind w:left="6431" w:hanging="247"/>
      </w:pPr>
      <w:rPr>
        <w:position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Zaimportowany styl 1"/>
    <w:next w:val="List 0"/>
    <w:pPr>
      <w:numPr>
        <w:numId w:val="1"/>
      </w:numPr>
    </w:pPr>
  </w:style>
  <w:style w:type="numbering" w:styleId="Zaimportowany styl 1">
    <w:name w:val="Zaimportowany styl 1"/>
    <w:next w:val="Zaimportowany styl 1"/>
    <w:pPr>
      <w:numPr>
        <w:numId w:val="2"/>
      </w:numPr>
    </w:pPr>
  </w:style>
  <w:style w:type="numbering" w:styleId="List 1">
    <w:name w:val="List 1"/>
    <w:basedOn w:val="Zaimportowany styl 2"/>
    <w:next w:val="List 1"/>
    <w:pPr>
      <w:numPr>
        <w:numId w:val="4"/>
      </w:numPr>
    </w:pPr>
  </w:style>
  <w:style w:type="numbering" w:styleId="Zaimportowany styl 2">
    <w:name w:val="Zaimportowany styl 2"/>
    <w:next w:val="Zaimportowany styl 2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