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98DE" w14:textId="550917A3" w:rsidR="00C532CD" w:rsidRPr="00C532CD" w:rsidRDefault="00C532CD" w:rsidP="00256AA6">
      <w:pPr>
        <w:jc w:val="center"/>
        <w:rPr>
          <w:rFonts w:ascii="Arial" w:hAnsi="Arial" w:cs="Arial"/>
          <w:b/>
          <w:sz w:val="24"/>
        </w:rPr>
      </w:pPr>
      <w:r w:rsidRPr="00C532CD">
        <w:rPr>
          <w:rFonts w:ascii="Arial" w:hAnsi="Arial" w:cs="Arial"/>
          <w:b/>
          <w:sz w:val="24"/>
        </w:rPr>
        <w:t>SYMULACJA ROZPRAW SĄDOWYCH – MOOT COURT</w:t>
      </w:r>
    </w:p>
    <w:p w14:paraId="58DCA4C0" w14:textId="43518692" w:rsidR="00C532CD" w:rsidRPr="00C532CD" w:rsidRDefault="00C532CD" w:rsidP="00256AA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</w:t>
      </w:r>
      <w:r w:rsidRPr="00C532CD">
        <w:rPr>
          <w:rFonts w:ascii="Arial" w:hAnsi="Arial" w:cs="Arial"/>
          <w:b/>
          <w:sz w:val="24"/>
        </w:rPr>
        <w:t>ekcja prawa cywilnego i procedury cywilnej</w:t>
      </w:r>
    </w:p>
    <w:p w14:paraId="05D9263D" w14:textId="62C7430B" w:rsidR="00893CA2" w:rsidRDefault="00893CA2" w:rsidP="00C532CD">
      <w:pPr>
        <w:rPr>
          <w:rFonts w:ascii="Arial" w:hAnsi="Arial" w:cs="Arial"/>
          <w:b/>
          <w:sz w:val="24"/>
        </w:rPr>
      </w:pPr>
    </w:p>
    <w:p w14:paraId="6EDE81D4" w14:textId="2CB9DA70" w:rsidR="00C532CD" w:rsidRPr="00C532CD" w:rsidRDefault="00C532CD" w:rsidP="00C532CD">
      <w:pPr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</w:t>
      </w:r>
      <w:r w:rsidRPr="00C532CD">
        <w:rPr>
          <w:rFonts w:ascii="Arial" w:hAnsi="Arial" w:cs="Arial"/>
          <w:bCs/>
          <w:sz w:val="24"/>
        </w:rPr>
        <w:t xml:space="preserve">ajęcia dla studentów prawa </w:t>
      </w:r>
      <w:r>
        <w:rPr>
          <w:rFonts w:ascii="Arial" w:hAnsi="Arial" w:cs="Arial"/>
          <w:bCs/>
          <w:sz w:val="24"/>
        </w:rPr>
        <w:t xml:space="preserve">– studia niestacjonarne zaoczne </w:t>
      </w:r>
    </w:p>
    <w:p w14:paraId="769CB3CB" w14:textId="77777777" w:rsidR="00256AA6" w:rsidRDefault="00256AA6" w:rsidP="00256AA6">
      <w:pPr>
        <w:jc w:val="both"/>
        <w:rPr>
          <w:rFonts w:ascii="Arial" w:hAnsi="Arial" w:cs="Arial"/>
          <w:sz w:val="24"/>
        </w:rPr>
      </w:pPr>
    </w:p>
    <w:p w14:paraId="74AA7771" w14:textId="77777777" w:rsidR="00256AA6" w:rsidRDefault="00256AA6" w:rsidP="00256AA6">
      <w:pPr>
        <w:spacing w:line="360" w:lineRule="auto"/>
        <w:jc w:val="both"/>
        <w:rPr>
          <w:rFonts w:ascii="Arial" w:hAnsi="Arial" w:cs="Arial"/>
          <w:sz w:val="24"/>
        </w:rPr>
      </w:pPr>
      <w:r w:rsidRPr="00C532CD">
        <w:rPr>
          <w:rFonts w:ascii="Arial" w:hAnsi="Arial" w:cs="Arial"/>
          <w:b/>
          <w:bCs/>
          <w:sz w:val="24"/>
        </w:rPr>
        <w:t>Prowadząca:</w:t>
      </w:r>
      <w:r>
        <w:rPr>
          <w:rFonts w:ascii="Arial" w:hAnsi="Arial" w:cs="Arial"/>
          <w:sz w:val="24"/>
        </w:rPr>
        <w:t xml:space="preserve"> mgr Karolina </w:t>
      </w:r>
      <w:proofErr w:type="spellStart"/>
      <w:r>
        <w:rPr>
          <w:rFonts w:ascii="Arial" w:hAnsi="Arial" w:cs="Arial"/>
          <w:sz w:val="24"/>
        </w:rPr>
        <w:t>Kędziera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4AB51E44" w14:textId="77777777" w:rsidR="00256AA6" w:rsidRPr="00256AA6" w:rsidRDefault="00256AA6" w:rsidP="00256AA6">
      <w:pPr>
        <w:spacing w:line="360" w:lineRule="auto"/>
        <w:jc w:val="both"/>
        <w:rPr>
          <w:rFonts w:ascii="Arial" w:hAnsi="Arial" w:cs="Arial"/>
          <w:sz w:val="24"/>
        </w:rPr>
      </w:pPr>
      <w:r w:rsidRPr="00256AA6">
        <w:rPr>
          <w:rFonts w:ascii="Arial" w:hAnsi="Arial" w:cs="Arial"/>
          <w:sz w:val="24"/>
        </w:rPr>
        <w:t xml:space="preserve">Zakład Prawa Cywilnego i Prawa Międzynarodowego Prywatnego w Instytucie Prawa Cywilnego na Wydziale Prawa Administracji i Ekonomii Uniwersytetu Wrocławskiego </w:t>
      </w:r>
    </w:p>
    <w:p w14:paraId="2156E60E" w14:textId="77777777" w:rsidR="00256AA6" w:rsidRPr="00256AA6" w:rsidRDefault="00256AA6" w:rsidP="00256AA6">
      <w:pPr>
        <w:spacing w:line="360" w:lineRule="auto"/>
        <w:jc w:val="both"/>
        <w:rPr>
          <w:rFonts w:ascii="Arial" w:hAnsi="Arial" w:cs="Arial"/>
          <w:sz w:val="24"/>
        </w:rPr>
      </w:pPr>
      <w:r w:rsidRPr="00256AA6">
        <w:rPr>
          <w:rFonts w:ascii="Arial" w:hAnsi="Arial" w:cs="Arial"/>
          <w:sz w:val="24"/>
        </w:rPr>
        <w:t xml:space="preserve">e-mail: karolina.kedziera@uwr.edu.pl </w:t>
      </w:r>
    </w:p>
    <w:p w14:paraId="1DC46847" w14:textId="77777777" w:rsidR="00256AA6" w:rsidRPr="00256AA6" w:rsidRDefault="00256AA6" w:rsidP="00256AA6">
      <w:pPr>
        <w:spacing w:line="360" w:lineRule="auto"/>
        <w:jc w:val="both"/>
        <w:rPr>
          <w:rFonts w:ascii="Arial" w:hAnsi="Arial" w:cs="Arial"/>
          <w:sz w:val="24"/>
        </w:rPr>
      </w:pPr>
    </w:p>
    <w:p w14:paraId="12E12052" w14:textId="2FD1E34F" w:rsidR="00256AA6" w:rsidRDefault="00256AA6" w:rsidP="00256AA6">
      <w:pPr>
        <w:spacing w:line="360" w:lineRule="auto"/>
        <w:jc w:val="both"/>
        <w:rPr>
          <w:rFonts w:ascii="Arial" w:hAnsi="Arial" w:cs="Arial"/>
          <w:sz w:val="24"/>
        </w:rPr>
      </w:pPr>
      <w:r w:rsidRPr="005224E0">
        <w:rPr>
          <w:rFonts w:ascii="Arial" w:hAnsi="Arial" w:cs="Arial"/>
          <w:b/>
          <w:sz w:val="24"/>
        </w:rPr>
        <w:t>Konsultacje:</w:t>
      </w:r>
      <w:r w:rsidRPr="00256AA6">
        <w:rPr>
          <w:rFonts w:ascii="Arial" w:hAnsi="Arial" w:cs="Arial"/>
          <w:sz w:val="24"/>
        </w:rPr>
        <w:t xml:space="preserve"> będą się odbywać drogą mailową oraz z wykorzystaniem aplikacji </w:t>
      </w:r>
      <w:proofErr w:type="spellStart"/>
      <w:r w:rsidRPr="00256AA6">
        <w:rPr>
          <w:rFonts w:ascii="Arial" w:hAnsi="Arial" w:cs="Arial"/>
          <w:sz w:val="24"/>
        </w:rPr>
        <w:t>Teams</w:t>
      </w:r>
      <w:proofErr w:type="spellEnd"/>
      <w:r w:rsidRPr="00256AA6">
        <w:rPr>
          <w:rFonts w:ascii="Arial" w:hAnsi="Arial" w:cs="Arial"/>
          <w:sz w:val="24"/>
        </w:rPr>
        <w:t xml:space="preserve"> (po wcześniejszym kontakcie mailowym) w</w:t>
      </w:r>
      <w:r w:rsidR="00FD274E">
        <w:rPr>
          <w:rFonts w:ascii="Arial" w:hAnsi="Arial" w:cs="Arial"/>
          <w:sz w:val="24"/>
        </w:rPr>
        <w:t xml:space="preserve"> każdy poniedziałek w godzinach 16.30 – 18.30 oraz 31.10, 21.11, 18.12 oraz 09.01 w godzinach 13.00 – 14.00.   </w:t>
      </w:r>
    </w:p>
    <w:p w14:paraId="61A1A9ED" w14:textId="77777777" w:rsidR="00256AA6" w:rsidRDefault="00256AA6" w:rsidP="00256AA6">
      <w:pPr>
        <w:jc w:val="both"/>
        <w:rPr>
          <w:rFonts w:ascii="Arial" w:hAnsi="Arial" w:cs="Arial"/>
          <w:sz w:val="24"/>
        </w:rPr>
      </w:pPr>
    </w:p>
    <w:p w14:paraId="1200D586" w14:textId="77777777" w:rsidR="00B226F8" w:rsidRPr="00B226F8" w:rsidRDefault="00B226F8" w:rsidP="00256AA6">
      <w:pPr>
        <w:jc w:val="both"/>
        <w:rPr>
          <w:rFonts w:ascii="Arial" w:hAnsi="Arial" w:cs="Arial"/>
          <w:b/>
          <w:sz w:val="24"/>
        </w:rPr>
      </w:pPr>
      <w:r w:rsidRPr="00B226F8">
        <w:rPr>
          <w:rFonts w:ascii="Arial" w:hAnsi="Arial" w:cs="Arial"/>
          <w:b/>
          <w:sz w:val="24"/>
        </w:rPr>
        <w:t xml:space="preserve">Literatura podstawowa: </w:t>
      </w:r>
    </w:p>
    <w:p w14:paraId="450C22C9" w14:textId="77777777" w:rsidR="00B226F8" w:rsidRPr="00B226F8" w:rsidRDefault="00B226F8" w:rsidP="00B226F8">
      <w:pPr>
        <w:spacing w:line="360" w:lineRule="auto"/>
        <w:jc w:val="both"/>
        <w:rPr>
          <w:rFonts w:ascii="Arial" w:hAnsi="Arial" w:cs="Arial"/>
          <w:sz w:val="24"/>
        </w:rPr>
      </w:pPr>
      <w:r w:rsidRPr="00B226F8">
        <w:rPr>
          <w:rFonts w:ascii="Arial" w:hAnsi="Arial" w:cs="Arial"/>
          <w:sz w:val="24"/>
        </w:rPr>
        <w:t xml:space="preserve">1. Kazusy z prawa cywilnego. Materiały do ćwiczeń, </w:t>
      </w:r>
      <w:proofErr w:type="spellStart"/>
      <w:r w:rsidRPr="00B226F8">
        <w:rPr>
          <w:rFonts w:ascii="Arial" w:hAnsi="Arial" w:cs="Arial"/>
          <w:sz w:val="24"/>
        </w:rPr>
        <w:t>Kuźmicka-Sulikowska</w:t>
      </w:r>
      <w:proofErr w:type="spellEnd"/>
      <w:r w:rsidRPr="00B226F8">
        <w:rPr>
          <w:rFonts w:ascii="Arial" w:hAnsi="Arial" w:cs="Arial"/>
          <w:sz w:val="24"/>
        </w:rPr>
        <w:t xml:space="preserve"> J. (red.), autorzy: </w:t>
      </w:r>
      <w:proofErr w:type="spellStart"/>
      <w:r w:rsidRPr="00B226F8">
        <w:rPr>
          <w:rFonts w:ascii="Arial" w:hAnsi="Arial" w:cs="Arial"/>
          <w:sz w:val="24"/>
        </w:rPr>
        <w:t>Balcarczyk</w:t>
      </w:r>
      <w:proofErr w:type="spellEnd"/>
      <w:r w:rsidRPr="00B226F8">
        <w:rPr>
          <w:rFonts w:ascii="Arial" w:hAnsi="Arial" w:cs="Arial"/>
          <w:sz w:val="24"/>
        </w:rPr>
        <w:t xml:space="preserve"> J., Drela M. Gołębiowski K., Górska K., Jezioro J., Kołodziej A., </w:t>
      </w:r>
      <w:proofErr w:type="spellStart"/>
      <w:r w:rsidRPr="00B226F8">
        <w:rPr>
          <w:rFonts w:ascii="Arial" w:hAnsi="Arial" w:cs="Arial"/>
          <w:sz w:val="24"/>
        </w:rPr>
        <w:t>Kuźmicka-Sulikowska</w:t>
      </w:r>
      <w:proofErr w:type="spellEnd"/>
      <w:r w:rsidRPr="00B226F8">
        <w:rPr>
          <w:rFonts w:ascii="Arial" w:hAnsi="Arial" w:cs="Arial"/>
          <w:sz w:val="24"/>
        </w:rPr>
        <w:t xml:space="preserve"> J., Stangret-Smoczyńska A., Strugała R., </w:t>
      </w:r>
      <w:proofErr w:type="spellStart"/>
      <w:r w:rsidRPr="00B226F8">
        <w:rPr>
          <w:rFonts w:ascii="Arial" w:hAnsi="Arial" w:cs="Arial"/>
          <w:sz w:val="24"/>
        </w:rPr>
        <w:t>Tenenbaum</w:t>
      </w:r>
      <w:proofErr w:type="spellEnd"/>
      <w:r w:rsidRPr="00B226F8">
        <w:rPr>
          <w:rFonts w:ascii="Arial" w:hAnsi="Arial" w:cs="Arial"/>
          <w:sz w:val="24"/>
        </w:rPr>
        <w:t>-Kulig M., C.H. Be</w:t>
      </w:r>
      <w:r>
        <w:rPr>
          <w:rFonts w:ascii="Arial" w:hAnsi="Arial" w:cs="Arial"/>
          <w:sz w:val="24"/>
        </w:rPr>
        <w:t>ck. Warszawa 2015</w:t>
      </w:r>
    </w:p>
    <w:p w14:paraId="7D9F6031" w14:textId="77777777" w:rsidR="00B226F8" w:rsidRPr="00B226F8" w:rsidRDefault="00B226F8" w:rsidP="00B226F8">
      <w:pPr>
        <w:spacing w:line="360" w:lineRule="auto"/>
        <w:jc w:val="both"/>
        <w:rPr>
          <w:rFonts w:ascii="Arial" w:hAnsi="Arial" w:cs="Arial"/>
          <w:sz w:val="24"/>
        </w:rPr>
      </w:pPr>
      <w:r w:rsidRPr="00B226F8">
        <w:rPr>
          <w:rFonts w:ascii="Arial" w:hAnsi="Arial" w:cs="Arial"/>
          <w:sz w:val="24"/>
        </w:rPr>
        <w:t xml:space="preserve">2. Zbiór kazusów z prawa cywilnego, </w:t>
      </w:r>
      <w:proofErr w:type="spellStart"/>
      <w:r w:rsidRPr="00B226F8">
        <w:rPr>
          <w:rFonts w:ascii="Arial" w:hAnsi="Arial" w:cs="Arial"/>
          <w:sz w:val="24"/>
        </w:rPr>
        <w:t>Kuźmicka-Sulikowska</w:t>
      </w:r>
      <w:proofErr w:type="spellEnd"/>
      <w:r w:rsidRPr="00B226F8">
        <w:rPr>
          <w:rFonts w:ascii="Arial" w:hAnsi="Arial" w:cs="Arial"/>
          <w:sz w:val="24"/>
        </w:rPr>
        <w:t xml:space="preserve"> J. (red.), autorzy: Drela M., Gołębiowski K., Górska K., Kołodziej A., </w:t>
      </w:r>
      <w:proofErr w:type="spellStart"/>
      <w:r w:rsidRPr="00B226F8">
        <w:rPr>
          <w:rFonts w:ascii="Arial" w:hAnsi="Arial" w:cs="Arial"/>
          <w:sz w:val="24"/>
        </w:rPr>
        <w:t>Kuźmicka-Sulikowska</w:t>
      </w:r>
      <w:proofErr w:type="spellEnd"/>
      <w:r w:rsidRPr="00B226F8">
        <w:rPr>
          <w:rFonts w:ascii="Arial" w:hAnsi="Arial" w:cs="Arial"/>
          <w:sz w:val="24"/>
        </w:rPr>
        <w:t xml:space="preserve"> J., Stangret-Smoczyńska A., Szydło W., </w:t>
      </w:r>
      <w:proofErr w:type="spellStart"/>
      <w:r w:rsidRPr="00B226F8">
        <w:rPr>
          <w:rFonts w:ascii="Arial" w:hAnsi="Arial" w:cs="Arial"/>
          <w:sz w:val="24"/>
        </w:rPr>
        <w:t>Tenenbaum</w:t>
      </w:r>
      <w:proofErr w:type="spellEnd"/>
      <w:r w:rsidRPr="00B226F8">
        <w:rPr>
          <w:rFonts w:ascii="Arial" w:hAnsi="Arial" w:cs="Arial"/>
          <w:sz w:val="24"/>
        </w:rPr>
        <w:t xml:space="preserve">-Kulig M., </w:t>
      </w:r>
      <w:r>
        <w:rPr>
          <w:rFonts w:ascii="Arial" w:hAnsi="Arial" w:cs="Arial"/>
          <w:sz w:val="24"/>
        </w:rPr>
        <w:t>Oficyna Prawnicza. Wrocław 2014</w:t>
      </w:r>
    </w:p>
    <w:p w14:paraId="663A3C92" w14:textId="77777777" w:rsidR="00B226F8" w:rsidRPr="00B226F8" w:rsidRDefault="00B226F8" w:rsidP="00B226F8">
      <w:pPr>
        <w:spacing w:line="360" w:lineRule="auto"/>
        <w:jc w:val="both"/>
        <w:rPr>
          <w:rFonts w:ascii="Arial" w:hAnsi="Arial" w:cs="Arial"/>
          <w:sz w:val="24"/>
        </w:rPr>
      </w:pPr>
      <w:r w:rsidRPr="00B226F8">
        <w:rPr>
          <w:rFonts w:ascii="Arial" w:hAnsi="Arial" w:cs="Arial"/>
          <w:sz w:val="24"/>
        </w:rPr>
        <w:t>3. Opinie prawne w praktyce, Król M. (</w:t>
      </w:r>
      <w:r>
        <w:rPr>
          <w:rFonts w:ascii="Arial" w:hAnsi="Arial" w:cs="Arial"/>
          <w:sz w:val="24"/>
        </w:rPr>
        <w:t>red.), C.H. Beck. Warszawa 2014</w:t>
      </w:r>
    </w:p>
    <w:p w14:paraId="6332A825" w14:textId="77777777" w:rsidR="00B226F8" w:rsidRPr="00B226F8" w:rsidRDefault="00B226F8" w:rsidP="00B226F8">
      <w:pPr>
        <w:spacing w:line="360" w:lineRule="auto"/>
        <w:jc w:val="both"/>
        <w:rPr>
          <w:rFonts w:ascii="Arial" w:hAnsi="Arial" w:cs="Arial"/>
          <w:sz w:val="24"/>
        </w:rPr>
      </w:pPr>
      <w:r w:rsidRPr="00B226F8">
        <w:rPr>
          <w:rFonts w:ascii="Arial" w:hAnsi="Arial" w:cs="Arial"/>
          <w:sz w:val="24"/>
        </w:rPr>
        <w:t>4. Studencka Poradnia Prawna. Kazusy i wzory pism, Kraśnicka I. (</w:t>
      </w:r>
      <w:r>
        <w:rPr>
          <w:rFonts w:ascii="Arial" w:hAnsi="Arial" w:cs="Arial"/>
          <w:sz w:val="24"/>
        </w:rPr>
        <w:t>red.), C.H. Beck. Warszawa 2011</w:t>
      </w:r>
    </w:p>
    <w:p w14:paraId="29697DFE" w14:textId="77777777" w:rsidR="00B226F8" w:rsidRPr="00B226F8" w:rsidRDefault="00B226F8" w:rsidP="00B226F8">
      <w:pPr>
        <w:spacing w:line="360" w:lineRule="auto"/>
        <w:jc w:val="both"/>
        <w:rPr>
          <w:rFonts w:ascii="Arial" w:hAnsi="Arial" w:cs="Arial"/>
          <w:sz w:val="24"/>
        </w:rPr>
      </w:pPr>
      <w:r w:rsidRPr="00B226F8">
        <w:rPr>
          <w:rFonts w:ascii="Arial" w:hAnsi="Arial" w:cs="Arial"/>
          <w:sz w:val="24"/>
        </w:rPr>
        <w:t>5. Metodologia pracy w SPP, Kraśnicka I. (</w:t>
      </w:r>
      <w:r>
        <w:rPr>
          <w:rFonts w:ascii="Arial" w:hAnsi="Arial" w:cs="Arial"/>
          <w:sz w:val="24"/>
        </w:rPr>
        <w:t>red.), C.H. Beck. Warszawa 2009</w:t>
      </w:r>
    </w:p>
    <w:p w14:paraId="4F1337FD" w14:textId="77777777" w:rsidR="00B226F8" w:rsidRPr="00B226F8" w:rsidRDefault="00B226F8" w:rsidP="00B226F8">
      <w:pPr>
        <w:spacing w:line="360" w:lineRule="auto"/>
        <w:jc w:val="both"/>
        <w:rPr>
          <w:rFonts w:ascii="Arial" w:hAnsi="Arial" w:cs="Arial"/>
          <w:sz w:val="24"/>
        </w:rPr>
      </w:pPr>
      <w:r w:rsidRPr="00B226F8">
        <w:rPr>
          <w:rFonts w:ascii="Arial" w:hAnsi="Arial" w:cs="Arial"/>
          <w:sz w:val="24"/>
        </w:rPr>
        <w:t>6. Studencka poradnia prawna (kompendium dla studentów), Namysłowska-Gabrysiak (</w:t>
      </w:r>
      <w:r>
        <w:rPr>
          <w:rFonts w:ascii="Arial" w:hAnsi="Arial" w:cs="Arial"/>
          <w:sz w:val="24"/>
        </w:rPr>
        <w:t>red.), C.H. Beck. Warszawa 2008</w:t>
      </w:r>
    </w:p>
    <w:p w14:paraId="2F57C006" w14:textId="77777777" w:rsidR="00B226F8" w:rsidRDefault="00B226F8" w:rsidP="00B226F8">
      <w:pPr>
        <w:spacing w:line="360" w:lineRule="auto"/>
        <w:jc w:val="both"/>
        <w:rPr>
          <w:rFonts w:ascii="Arial" w:hAnsi="Arial" w:cs="Arial"/>
          <w:sz w:val="24"/>
        </w:rPr>
      </w:pPr>
      <w:r w:rsidRPr="00B226F8">
        <w:rPr>
          <w:rFonts w:ascii="Arial" w:hAnsi="Arial" w:cs="Arial"/>
          <w:sz w:val="24"/>
        </w:rPr>
        <w:lastRenderedPageBreak/>
        <w:t>7. Symulacja rozpraw sądowych jako metoda edukacyjna, Bojarski Ł., Namysłowska-Gabrysiak B., C.H. Beck. Warszawa 2008</w:t>
      </w:r>
    </w:p>
    <w:p w14:paraId="546E7B39" w14:textId="77777777" w:rsidR="00256AA6" w:rsidRPr="00256AA6" w:rsidRDefault="00256AA6" w:rsidP="00256AA6">
      <w:pPr>
        <w:jc w:val="both"/>
        <w:rPr>
          <w:rFonts w:ascii="Arial" w:hAnsi="Arial" w:cs="Arial"/>
          <w:b/>
          <w:sz w:val="24"/>
        </w:rPr>
      </w:pPr>
      <w:r w:rsidRPr="00256AA6">
        <w:rPr>
          <w:rFonts w:ascii="Arial" w:hAnsi="Arial" w:cs="Arial"/>
          <w:b/>
          <w:sz w:val="24"/>
        </w:rPr>
        <w:t xml:space="preserve">Literatura uzupełniająca: </w:t>
      </w:r>
    </w:p>
    <w:p w14:paraId="2D7A19C4" w14:textId="77777777" w:rsidR="00256AA6" w:rsidRDefault="00B226F8" w:rsidP="00256A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Sztuka wymowy sądowej, </w:t>
      </w:r>
      <w:r w:rsidR="00256AA6">
        <w:rPr>
          <w:rFonts w:ascii="Arial" w:hAnsi="Arial" w:cs="Arial"/>
          <w:sz w:val="24"/>
        </w:rPr>
        <w:t xml:space="preserve">R. Łuczywek, O. </w:t>
      </w:r>
      <w:proofErr w:type="spellStart"/>
      <w:r w:rsidR="00256AA6">
        <w:rPr>
          <w:rFonts w:ascii="Arial" w:hAnsi="Arial" w:cs="Arial"/>
          <w:sz w:val="24"/>
        </w:rPr>
        <w:t>Missuna</w:t>
      </w:r>
      <w:proofErr w:type="spellEnd"/>
      <w:r>
        <w:rPr>
          <w:rFonts w:ascii="Arial" w:hAnsi="Arial" w:cs="Arial"/>
          <w:sz w:val="24"/>
        </w:rPr>
        <w:t xml:space="preserve">, Arche, Warszawa 2017. </w:t>
      </w:r>
      <w:r w:rsidR="00256AA6">
        <w:rPr>
          <w:rFonts w:ascii="Arial" w:hAnsi="Arial" w:cs="Arial"/>
          <w:sz w:val="24"/>
        </w:rPr>
        <w:t xml:space="preserve"> </w:t>
      </w:r>
    </w:p>
    <w:p w14:paraId="6271BB66" w14:textId="77777777" w:rsidR="00C532CD" w:rsidRDefault="00C532CD" w:rsidP="00256AA6">
      <w:pPr>
        <w:jc w:val="both"/>
        <w:rPr>
          <w:rFonts w:ascii="Arial" w:hAnsi="Arial" w:cs="Arial"/>
          <w:b/>
          <w:sz w:val="24"/>
        </w:rPr>
      </w:pPr>
    </w:p>
    <w:p w14:paraId="56103389" w14:textId="4C187C9F" w:rsidR="00C532CD" w:rsidRPr="00256AA6" w:rsidRDefault="00256AA6" w:rsidP="00256AA6">
      <w:pPr>
        <w:jc w:val="both"/>
        <w:rPr>
          <w:rFonts w:ascii="Arial" w:hAnsi="Arial" w:cs="Arial"/>
          <w:b/>
          <w:sz w:val="24"/>
        </w:rPr>
      </w:pPr>
      <w:r w:rsidRPr="00256AA6">
        <w:rPr>
          <w:rFonts w:ascii="Arial" w:hAnsi="Arial" w:cs="Arial"/>
          <w:b/>
          <w:sz w:val="24"/>
        </w:rPr>
        <w:t>Warunki zaliczenia:</w:t>
      </w:r>
    </w:p>
    <w:p w14:paraId="3D6496B9" w14:textId="5C3A25C7" w:rsidR="00256AA6" w:rsidRPr="00C532CD" w:rsidRDefault="00C532CD" w:rsidP="00C532C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C532CD">
        <w:rPr>
          <w:rFonts w:ascii="Arial" w:hAnsi="Arial" w:cs="Arial"/>
          <w:sz w:val="24"/>
        </w:rPr>
        <w:t>U</w:t>
      </w:r>
      <w:r w:rsidR="00256AA6" w:rsidRPr="00C532CD">
        <w:rPr>
          <w:rFonts w:ascii="Arial" w:hAnsi="Arial" w:cs="Arial"/>
          <w:sz w:val="24"/>
        </w:rPr>
        <w:t>czestnictwo w zajęciach</w:t>
      </w:r>
    </w:p>
    <w:p w14:paraId="6CDAEEB5" w14:textId="260482B4" w:rsidR="00C532CD" w:rsidRPr="00256AA6" w:rsidRDefault="00C532CD" w:rsidP="00C532C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dopuszczalna jest jedna nieobecność, każda kolejna </w:t>
      </w:r>
      <w:r w:rsidR="00256AA6" w:rsidRPr="00256AA6">
        <w:rPr>
          <w:rFonts w:ascii="Arial" w:hAnsi="Arial" w:cs="Arial"/>
          <w:sz w:val="24"/>
        </w:rPr>
        <w:t xml:space="preserve">podlega zaliczeniu na konsultacjach w terminie 2 tygodni od </w:t>
      </w:r>
      <w:r>
        <w:rPr>
          <w:rFonts w:ascii="Arial" w:hAnsi="Arial" w:cs="Arial"/>
          <w:sz w:val="24"/>
        </w:rPr>
        <w:t xml:space="preserve">dnia </w:t>
      </w:r>
      <w:r w:rsidR="00256AA6">
        <w:rPr>
          <w:rFonts w:ascii="Arial" w:hAnsi="Arial" w:cs="Arial"/>
          <w:sz w:val="24"/>
        </w:rPr>
        <w:t xml:space="preserve">ustania przyczyny nieobecności </w:t>
      </w:r>
    </w:p>
    <w:p w14:paraId="5C816B9F" w14:textId="77777777" w:rsidR="00256AA6" w:rsidRDefault="00256AA6" w:rsidP="00C532CD">
      <w:pPr>
        <w:spacing w:line="360" w:lineRule="auto"/>
        <w:jc w:val="both"/>
        <w:rPr>
          <w:rFonts w:ascii="Arial" w:hAnsi="Arial" w:cs="Arial"/>
          <w:sz w:val="24"/>
        </w:rPr>
      </w:pPr>
      <w:r w:rsidRPr="00256AA6"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z w:val="24"/>
        </w:rPr>
        <w:t xml:space="preserve">Uzyskanie co najmniej oceny dostatecznej za: </w:t>
      </w:r>
    </w:p>
    <w:p w14:paraId="6C0A8ED9" w14:textId="60F55BA0" w:rsidR="00256AA6" w:rsidRDefault="00256AA6" w:rsidP="00C532C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przygotowany w oparciu o przedstawiony stan faktyczny poz</w:t>
      </w:r>
      <w:r w:rsidR="00C532CD">
        <w:rPr>
          <w:rFonts w:ascii="Arial" w:hAnsi="Arial" w:cs="Arial"/>
          <w:sz w:val="24"/>
        </w:rPr>
        <w:t>ew</w:t>
      </w:r>
      <w:r w:rsidR="004A0826">
        <w:rPr>
          <w:rFonts w:ascii="Arial" w:hAnsi="Arial" w:cs="Arial"/>
          <w:sz w:val="24"/>
        </w:rPr>
        <w:t>/</w:t>
      </w:r>
      <w:r w:rsidR="00C532CD">
        <w:rPr>
          <w:rFonts w:ascii="Arial" w:hAnsi="Arial" w:cs="Arial"/>
          <w:sz w:val="24"/>
        </w:rPr>
        <w:t xml:space="preserve"> odpowiedź na pozew</w:t>
      </w:r>
    </w:p>
    <w:p w14:paraId="6C16FDBC" w14:textId="255D14D3" w:rsidR="00256AA6" w:rsidRPr="00256AA6" w:rsidRDefault="00256AA6" w:rsidP="00C532C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4A0826">
        <w:rPr>
          <w:rFonts w:ascii="Arial" w:hAnsi="Arial" w:cs="Arial"/>
          <w:sz w:val="24"/>
        </w:rPr>
        <w:t xml:space="preserve">udział w symulacja rozprawy sądowej, </w:t>
      </w:r>
      <w:r>
        <w:rPr>
          <w:rFonts w:ascii="Arial" w:hAnsi="Arial" w:cs="Arial"/>
          <w:sz w:val="24"/>
        </w:rPr>
        <w:t xml:space="preserve">przygotowanie </w:t>
      </w:r>
      <w:r w:rsidR="00C532CD">
        <w:rPr>
          <w:rFonts w:ascii="Arial" w:hAnsi="Arial" w:cs="Arial"/>
          <w:sz w:val="24"/>
        </w:rPr>
        <w:t xml:space="preserve">i wygłoszenie 10-15 min. </w:t>
      </w:r>
      <w:r>
        <w:rPr>
          <w:rFonts w:ascii="Arial" w:hAnsi="Arial" w:cs="Arial"/>
          <w:sz w:val="24"/>
        </w:rPr>
        <w:t xml:space="preserve">wystąpienia ustnego – mowy końcowej profesjonalnego pełnomocnika w postępowaniu cywilnym </w:t>
      </w:r>
    </w:p>
    <w:p w14:paraId="4DACF4C2" w14:textId="77777777" w:rsidR="00FD274E" w:rsidRDefault="00FD274E" w:rsidP="00C532CD">
      <w:pPr>
        <w:spacing w:line="360" w:lineRule="auto"/>
        <w:jc w:val="both"/>
        <w:rPr>
          <w:rFonts w:ascii="Arial" w:hAnsi="Arial" w:cs="Arial"/>
          <w:sz w:val="24"/>
        </w:rPr>
      </w:pPr>
    </w:p>
    <w:p w14:paraId="49110C82" w14:textId="599BEBAB" w:rsidR="00105FE9" w:rsidRDefault="00256AA6" w:rsidP="00C532CD">
      <w:pPr>
        <w:spacing w:line="360" w:lineRule="auto"/>
        <w:jc w:val="both"/>
        <w:rPr>
          <w:rFonts w:ascii="Arial" w:hAnsi="Arial" w:cs="Arial"/>
          <w:sz w:val="24"/>
        </w:rPr>
      </w:pPr>
      <w:r w:rsidRPr="00256AA6">
        <w:rPr>
          <w:rFonts w:ascii="Arial" w:hAnsi="Arial" w:cs="Arial"/>
          <w:sz w:val="24"/>
        </w:rPr>
        <w:t>Aktywność na zajęciac</w:t>
      </w:r>
      <w:r>
        <w:rPr>
          <w:rFonts w:ascii="Arial" w:hAnsi="Arial" w:cs="Arial"/>
          <w:sz w:val="24"/>
        </w:rPr>
        <w:t xml:space="preserve">h </w:t>
      </w:r>
      <w:r w:rsidR="00F90B1A">
        <w:rPr>
          <w:rFonts w:ascii="Arial" w:hAnsi="Arial" w:cs="Arial"/>
          <w:sz w:val="24"/>
        </w:rPr>
        <w:t xml:space="preserve">będzie uwzględniana przy wystawianiu oceny z przedmiotu </w:t>
      </w:r>
    </w:p>
    <w:p w14:paraId="2E19B0C4" w14:textId="32D83D71" w:rsidR="00105FE9" w:rsidRDefault="00105FE9">
      <w:pPr>
        <w:rPr>
          <w:rFonts w:ascii="Arial" w:hAnsi="Arial" w:cs="Arial"/>
          <w:sz w:val="24"/>
        </w:rPr>
      </w:pPr>
    </w:p>
    <w:sectPr w:rsidR="0010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C5AF" w14:textId="77777777" w:rsidR="00147D99" w:rsidRDefault="00147D99" w:rsidP="0061344C">
      <w:pPr>
        <w:spacing w:after="0" w:line="240" w:lineRule="auto"/>
      </w:pPr>
      <w:r>
        <w:separator/>
      </w:r>
    </w:p>
  </w:endnote>
  <w:endnote w:type="continuationSeparator" w:id="0">
    <w:p w14:paraId="17C4BD52" w14:textId="77777777" w:rsidR="00147D99" w:rsidRDefault="00147D99" w:rsidP="0061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C065" w14:textId="77777777" w:rsidR="00147D99" w:rsidRDefault="00147D99" w:rsidP="0061344C">
      <w:pPr>
        <w:spacing w:after="0" w:line="240" w:lineRule="auto"/>
      </w:pPr>
      <w:r>
        <w:separator/>
      </w:r>
    </w:p>
  </w:footnote>
  <w:footnote w:type="continuationSeparator" w:id="0">
    <w:p w14:paraId="2133BF3A" w14:textId="77777777" w:rsidR="00147D99" w:rsidRDefault="00147D99" w:rsidP="0061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5737"/>
    <w:multiLevelType w:val="hybridMultilevel"/>
    <w:tmpl w:val="7B422548"/>
    <w:lvl w:ilvl="0" w:tplc="15E0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B50C2A"/>
    <w:multiLevelType w:val="hybridMultilevel"/>
    <w:tmpl w:val="A2541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B2955"/>
    <w:multiLevelType w:val="hybridMultilevel"/>
    <w:tmpl w:val="B71C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A6"/>
    <w:rsid w:val="000D40D2"/>
    <w:rsid w:val="00105FE9"/>
    <w:rsid w:val="00147D99"/>
    <w:rsid w:val="0017201E"/>
    <w:rsid w:val="001F1F88"/>
    <w:rsid w:val="00256AA6"/>
    <w:rsid w:val="0026377E"/>
    <w:rsid w:val="0035076D"/>
    <w:rsid w:val="003934B3"/>
    <w:rsid w:val="004048C8"/>
    <w:rsid w:val="00447796"/>
    <w:rsid w:val="004A0826"/>
    <w:rsid w:val="004B2905"/>
    <w:rsid w:val="005224E0"/>
    <w:rsid w:val="005835E8"/>
    <w:rsid w:val="0061344C"/>
    <w:rsid w:val="00712C7D"/>
    <w:rsid w:val="00893CA2"/>
    <w:rsid w:val="008D38B4"/>
    <w:rsid w:val="00A206A0"/>
    <w:rsid w:val="00A27801"/>
    <w:rsid w:val="00B226F8"/>
    <w:rsid w:val="00B269A9"/>
    <w:rsid w:val="00B976B0"/>
    <w:rsid w:val="00C10B27"/>
    <w:rsid w:val="00C532CD"/>
    <w:rsid w:val="00F90B1A"/>
    <w:rsid w:val="00F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E167"/>
  <w15:chartTrackingRefBased/>
  <w15:docId w15:val="{21B57426-2832-4A15-8B99-19A02CA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F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34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34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4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Wrocław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Kędziera Karolina</dc:creator>
  <cp:keywords/>
  <dc:description/>
  <cp:lastModifiedBy>Karolina K.</cp:lastModifiedBy>
  <cp:revision>16</cp:revision>
  <dcterms:created xsi:type="dcterms:W3CDTF">2021-09-06T08:34:00Z</dcterms:created>
  <dcterms:modified xsi:type="dcterms:W3CDTF">2021-10-30T16:15:00Z</dcterms:modified>
</cp:coreProperties>
</file>