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1F" w:rsidRDefault="003A181F">
      <w:pPr>
        <w:rPr>
          <w:b/>
        </w:rPr>
      </w:pPr>
      <w:r w:rsidRPr="009851AB">
        <w:rPr>
          <w:b/>
        </w:rPr>
        <w:t>Kazus nr 1</w:t>
      </w:r>
    </w:p>
    <w:p w:rsidR="001E22ED" w:rsidRPr="009851AB" w:rsidRDefault="001E22ED">
      <w:pPr>
        <w:rPr>
          <w:b/>
        </w:rPr>
      </w:pPr>
    </w:p>
    <w:p w:rsidR="003A181F" w:rsidRDefault="00DC31E6">
      <w:r w:rsidRPr="008640BB">
        <w:rPr>
          <w:highlight w:val="green"/>
        </w:rPr>
        <w:t xml:space="preserve">W dniu </w:t>
      </w:r>
      <w:r w:rsidR="00823F62" w:rsidRPr="008640BB">
        <w:rPr>
          <w:highlight w:val="green"/>
        </w:rPr>
        <w:t xml:space="preserve">1 </w:t>
      </w:r>
      <w:r w:rsidRPr="008640BB">
        <w:rPr>
          <w:highlight w:val="green"/>
        </w:rPr>
        <w:t xml:space="preserve">kwietnia 2020 r. we Wrocławiu </w:t>
      </w:r>
      <w:r w:rsidR="001E22ED" w:rsidRPr="008640BB">
        <w:rPr>
          <w:highlight w:val="green"/>
        </w:rPr>
        <w:t>Marta D.</w:t>
      </w:r>
      <w:r w:rsidRPr="008640BB">
        <w:rPr>
          <w:highlight w:val="green"/>
        </w:rPr>
        <w:t xml:space="preserve"> (lat 50)</w:t>
      </w:r>
      <w:r w:rsidR="001E22ED" w:rsidRPr="008640BB">
        <w:rPr>
          <w:highlight w:val="green"/>
        </w:rPr>
        <w:t xml:space="preserve"> </w:t>
      </w:r>
      <w:r w:rsidR="003618A1" w:rsidRPr="008640BB">
        <w:rPr>
          <w:highlight w:val="green"/>
        </w:rPr>
        <w:t xml:space="preserve">zawarła umowę </w:t>
      </w:r>
      <w:r w:rsidRPr="008640BB">
        <w:rPr>
          <w:highlight w:val="green"/>
        </w:rPr>
        <w:t>sprzedaży laptopa</w:t>
      </w:r>
      <w:r w:rsidR="00EC087D" w:rsidRPr="00EC087D">
        <w:rPr>
          <w:highlight w:val="green"/>
        </w:rPr>
        <w:t xml:space="preserve"> HP Omen 15-DC0016NW</w:t>
      </w:r>
      <w:r w:rsidR="00D84495">
        <w:rPr>
          <w:highlight w:val="green"/>
        </w:rPr>
        <w:t>, którego jest właścicielem,</w:t>
      </w:r>
      <w:r w:rsidRPr="008640BB">
        <w:rPr>
          <w:highlight w:val="green"/>
        </w:rPr>
        <w:t xml:space="preserve"> z Moniką J. (lat 46).</w:t>
      </w:r>
      <w:r>
        <w:t xml:space="preserve"> Umowa została zawarta w formie pisemnej w obecności </w:t>
      </w:r>
      <w:r w:rsidR="0029371F">
        <w:t>małole</w:t>
      </w:r>
      <w:r>
        <w:t xml:space="preserve">tnich świadków </w:t>
      </w:r>
      <w:r w:rsidR="0029371F">
        <w:t>Jarosława J. (lat 15) i Stanisława J</w:t>
      </w:r>
      <w:r w:rsidR="009A3295">
        <w:t>.</w:t>
      </w:r>
      <w:r w:rsidR="0029371F">
        <w:t xml:space="preserve"> (lat 12).</w:t>
      </w:r>
      <w:r>
        <w:t xml:space="preserve"> </w:t>
      </w:r>
      <w:r w:rsidRPr="008640BB">
        <w:rPr>
          <w:highlight w:val="green"/>
        </w:rPr>
        <w:t xml:space="preserve">W umowie sprzedaży Marta D. zobowiązała się do przeniesienia prawa własności laptopa o wartości </w:t>
      </w:r>
      <w:r w:rsidR="00A3675A" w:rsidRPr="008640BB">
        <w:rPr>
          <w:highlight w:val="green"/>
        </w:rPr>
        <w:t xml:space="preserve">rynkowej ok. </w:t>
      </w:r>
      <w:r w:rsidRPr="008640BB">
        <w:rPr>
          <w:highlight w:val="green"/>
        </w:rPr>
        <w:t xml:space="preserve">5 000 zł na rzecz Moniki J. </w:t>
      </w:r>
      <w:r w:rsidR="0029371F" w:rsidRPr="008640BB">
        <w:rPr>
          <w:highlight w:val="green"/>
        </w:rPr>
        <w:t xml:space="preserve">oraz do wydania rzeczy, zaś Monika J. zobowiązała się do odebrania </w:t>
      </w:r>
      <w:r w:rsidR="00823F62" w:rsidRPr="008640BB">
        <w:rPr>
          <w:highlight w:val="green"/>
        </w:rPr>
        <w:t>laptopa</w:t>
      </w:r>
      <w:r w:rsidR="0029371F" w:rsidRPr="008640BB">
        <w:rPr>
          <w:highlight w:val="green"/>
        </w:rPr>
        <w:t xml:space="preserve"> i zapłaty ceny</w:t>
      </w:r>
      <w:r w:rsidR="00A3675A" w:rsidRPr="008640BB">
        <w:rPr>
          <w:highlight w:val="green"/>
        </w:rPr>
        <w:t xml:space="preserve"> w kwocie </w:t>
      </w:r>
      <w:r w:rsidR="00E71861" w:rsidRPr="008640BB">
        <w:rPr>
          <w:highlight w:val="green"/>
        </w:rPr>
        <w:t>5 2</w:t>
      </w:r>
      <w:r w:rsidR="00A3675A" w:rsidRPr="008640BB">
        <w:rPr>
          <w:highlight w:val="green"/>
        </w:rPr>
        <w:t>00 zł.</w:t>
      </w:r>
      <w:r w:rsidR="00A3675A">
        <w:t xml:space="preserve"> </w:t>
      </w:r>
      <w:r w:rsidR="00823F62">
        <w:t xml:space="preserve">Jednak </w:t>
      </w:r>
      <w:r w:rsidR="00560824">
        <w:t xml:space="preserve">Marta D. przy zawarciu umowy nie poinformowała Moniki J. o tym, że </w:t>
      </w:r>
      <w:r w:rsidR="00560824" w:rsidRPr="008640BB">
        <w:rPr>
          <w:highlight w:val="green"/>
        </w:rPr>
        <w:t xml:space="preserve">z dniem 15 </w:t>
      </w:r>
      <w:r w:rsidR="009A3295" w:rsidRPr="008640BB">
        <w:rPr>
          <w:highlight w:val="green"/>
        </w:rPr>
        <w:t>października</w:t>
      </w:r>
      <w:r w:rsidR="00560824" w:rsidRPr="008640BB">
        <w:rPr>
          <w:highlight w:val="green"/>
        </w:rPr>
        <w:t xml:space="preserve"> 2018 r. została </w:t>
      </w:r>
      <w:r w:rsidR="00560824" w:rsidRPr="000A52EB">
        <w:rPr>
          <w:highlight w:val="green"/>
        </w:rPr>
        <w:t>ubezwłasnowolniona częściowo</w:t>
      </w:r>
      <w:r w:rsidR="00823F62" w:rsidRPr="000A52EB">
        <w:rPr>
          <w:highlight w:val="green"/>
        </w:rPr>
        <w:t xml:space="preserve"> oraz że Sąd Okręgowy we Wrocławiu wyznaczył </w:t>
      </w:r>
      <w:r w:rsidR="007E1E2D" w:rsidRPr="000A52EB">
        <w:rPr>
          <w:highlight w:val="green"/>
        </w:rPr>
        <w:t>dla niej</w:t>
      </w:r>
      <w:r w:rsidR="00823F62" w:rsidRPr="000A52EB">
        <w:rPr>
          <w:highlight w:val="green"/>
        </w:rPr>
        <w:t xml:space="preserve"> kuratora w osobie Patryka </w:t>
      </w:r>
      <w:r w:rsidR="00E71861" w:rsidRPr="000A52EB">
        <w:rPr>
          <w:highlight w:val="green"/>
        </w:rPr>
        <w:t>D</w:t>
      </w:r>
      <w:r w:rsidR="00052F4F">
        <w:rPr>
          <w:highlight w:val="green"/>
        </w:rPr>
        <w:t>.</w:t>
      </w:r>
      <w:r w:rsidR="000A52EB" w:rsidRPr="000A52EB">
        <w:rPr>
          <w:highlight w:val="green"/>
        </w:rPr>
        <w:t>, który został upoważniony do zarządu majątkiem swojej podopiecznej.</w:t>
      </w:r>
      <w:r w:rsidR="00823F62">
        <w:t xml:space="preserve"> W dniu </w:t>
      </w:r>
      <w:r w:rsidR="00E71861">
        <w:t xml:space="preserve">6 kwietnia 2020 r. </w:t>
      </w:r>
      <w:r w:rsidR="00823F62">
        <w:t xml:space="preserve">Monika J. </w:t>
      </w:r>
      <w:r w:rsidR="00E71861">
        <w:t xml:space="preserve">zadzwoniła do Marty D. celem uzgodnienia terminu przekazania laptopa i zapłaty ceny. Telefon odebrał Patryk D. i </w:t>
      </w:r>
      <w:r w:rsidR="00E71861" w:rsidRPr="008640BB">
        <w:rPr>
          <w:highlight w:val="green"/>
        </w:rPr>
        <w:t>poinformował Monikę J. o ubezwłasnowolnieniu częściowym Marty D.</w:t>
      </w:r>
      <w:r w:rsidR="00E71861">
        <w:t xml:space="preserve"> oraz o tym, że nic nie wie</w:t>
      </w:r>
      <w:r w:rsidR="009A3295">
        <w:t>dział</w:t>
      </w:r>
      <w:r w:rsidR="00E71861">
        <w:t xml:space="preserve"> na temat umowy</w:t>
      </w:r>
      <w:r w:rsidR="007E1E2D">
        <w:t xml:space="preserve"> z dnia 1 kwietnia 2020 r</w:t>
      </w:r>
      <w:r w:rsidR="00E71861">
        <w:t xml:space="preserve">. </w:t>
      </w:r>
      <w:r w:rsidR="00E71861" w:rsidRPr="008640BB">
        <w:rPr>
          <w:highlight w:val="green"/>
        </w:rPr>
        <w:t>W odpowiedzi Monika J. stwierdziła, że w takim razie umowa jest nieważna</w:t>
      </w:r>
      <w:r w:rsidR="00D324D2" w:rsidRPr="008640BB">
        <w:rPr>
          <w:highlight w:val="green"/>
        </w:rPr>
        <w:t>. Ponadto oświadczyła, że</w:t>
      </w:r>
      <w:r w:rsidR="00E71861" w:rsidRPr="008640BB">
        <w:rPr>
          <w:highlight w:val="green"/>
        </w:rPr>
        <w:t xml:space="preserve"> znalazła tańszą ofertę i </w:t>
      </w:r>
      <w:r w:rsidR="007E1E2D" w:rsidRPr="008640BB">
        <w:rPr>
          <w:highlight w:val="green"/>
        </w:rPr>
        <w:t>nie zamierza finalizować</w:t>
      </w:r>
      <w:r w:rsidR="00D324D2" w:rsidRPr="008640BB">
        <w:rPr>
          <w:highlight w:val="green"/>
        </w:rPr>
        <w:t xml:space="preserve"> transakcji, gdyż nie ma takiego obowiązku.</w:t>
      </w:r>
    </w:p>
    <w:p w:rsidR="005F42AD" w:rsidRDefault="005F42AD"/>
    <w:p w:rsidR="003A181F" w:rsidRPr="004B5187" w:rsidRDefault="004B5187">
      <w:pPr>
        <w:rPr>
          <w:b/>
        </w:rPr>
      </w:pPr>
      <w:r w:rsidRPr="004B5187">
        <w:rPr>
          <w:b/>
        </w:rPr>
        <w:t>Pytania:</w:t>
      </w:r>
    </w:p>
    <w:p w:rsidR="007E1E2D" w:rsidRDefault="007E1E2D" w:rsidP="00A3675A">
      <w:pPr>
        <w:pStyle w:val="Akapitzlist"/>
        <w:numPr>
          <w:ilvl w:val="0"/>
          <w:numId w:val="5"/>
        </w:numPr>
      </w:pPr>
      <w:r>
        <w:t xml:space="preserve">Czy </w:t>
      </w:r>
      <w:r w:rsidR="00BE52D0">
        <w:t xml:space="preserve">twierdzenia </w:t>
      </w:r>
      <w:r>
        <w:t>Monik</w:t>
      </w:r>
      <w:r w:rsidR="00BE52D0">
        <w:t>i</w:t>
      </w:r>
      <w:r>
        <w:t xml:space="preserve"> J. </w:t>
      </w:r>
      <w:r w:rsidR="00D324D2">
        <w:t>są zasadne</w:t>
      </w:r>
      <w:r>
        <w:t>?</w:t>
      </w:r>
      <w:r w:rsidR="00BE52D0">
        <w:t xml:space="preserve"> </w:t>
      </w:r>
    </w:p>
    <w:p w:rsidR="008640BB" w:rsidRDefault="008640BB" w:rsidP="008640BB">
      <w:r>
        <w:t>Nie</w:t>
      </w:r>
    </w:p>
    <w:p w:rsidR="008640BB" w:rsidRDefault="008640BB" w:rsidP="008640BB">
      <w:r>
        <w:t xml:space="preserve">Marta </w:t>
      </w:r>
      <w:r w:rsidR="00D84495">
        <w:t>D</w:t>
      </w:r>
      <w:r>
        <w:t xml:space="preserve">. jest osobą pełnoletnią, lecz ze względu na ubezwłasnowolnienie częściowe posiada jedynie </w:t>
      </w:r>
      <w:r w:rsidR="00D84495">
        <w:t>ograniczoną</w:t>
      </w:r>
      <w:r>
        <w:t xml:space="preserve"> zdolność do czynności prawnych (art. </w:t>
      </w:r>
      <w:r w:rsidR="00D84495">
        <w:t xml:space="preserve">15 k.c.). </w:t>
      </w:r>
      <w:r w:rsidR="006B6757">
        <w:t>W kazusie brak info</w:t>
      </w:r>
      <w:r w:rsidR="00985610">
        <w:t>rmacji na temat przekazania Marci</w:t>
      </w:r>
      <w:r w:rsidR="006B6757">
        <w:t xml:space="preserve">e D. laptopa do swobodnego użytku, dlatego art. 22 k.c. nie znajduje tu zastosowania. </w:t>
      </w:r>
      <w:r w:rsidR="00985610">
        <w:t xml:space="preserve">Także art. 20 k.c. nie stosuje się z uwagi na to, że sprzedaż laptopa o wartości 5 000 zł nie należy do umów powszechnie zawieranych w drobnych bieżących sprawach życia codziennego. </w:t>
      </w:r>
      <w:r w:rsidR="00D84495">
        <w:t xml:space="preserve">Umowa sprzedaży z dnia 1 kwietnia 2020 r. stanowi czynność prawną zobowiązującą do przeniesienia prawa własności laptopa (a ze względu na treść art. 155 §1 k.c. może wywołać także skutek rozporządzający). Dlatego zgodnie z treścią art. 17 k.c. dla ważności tej umowy niezbędna jest zgoda przedstawiciela ustawowego </w:t>
      </w:r>
      <w:r w:rsidR="00E64D4D">
        <w:t>Marty D.</w:t>
      </w:r>
      <w:r w:rsidR="00D84495">
        <w:t xml:space="preserve"> </w:t>
      </w:r>
      <w:r w:rsidR="00E64D4D">
        <w:t>W przedstawionym w kazusie stanie faktycznym Patryk D. nie wyraził zgody na zawarcie tej umowy</w:t>
      </w:r>
      <w:r w:rsidR="00F93413">
        <w:t xml:space="preserve"> (</w:t>
      </w:r>
      <w:r w:rsidR="00E64D4D">
        <w:t>ani nie złożył oświadczenia w przedmiocie odmowy udzielenia zgody na zawarcie umowy</w:t>
      </w:r>
      <w:r w:rsidR="00F93413">
        <w:t>)</w:t>
      </w:r>
      <w:r w:rsidR="00E64D4D">
        <w:t>.</w:t>
      </w:r>
      <w:r w:rsidR="00E64D4D" w:rsidRPr="00E64D4D">
        <w:t xml:space="preserve"> </w:t>
      </w:r>
      <w:r w:rsidR="00E64D4D">
        <w:t>To oznacza, że Marta D. mogła samodzielnie dokonać czynności prawne</w:t>
      </w:r>
      <w:r w:rsidR="00F93413">
        <w:t xml:space="preserve">j polegającej na zawarciu umowy sprzedaży laptopa z Moniką J., jednak ważność tej umowy zależy od jej potwierdzenia przez Patryka D. (art. 18 §1 k.c.). </w:t>
      </w:r>
      <w:r w:rsidR="000A52EB">
        <w:t xml:space="preserve">Warto zauważyć, że przy założeniu, że sprzedaż laptopa o wskazanej w kazusie wartości może stanowić czynność przekraczającą zwykły zarząd, Patryk D. powinien byłby przed złożeniem oświadczenia w przedmiocie potwierdzenia umowy uzyskać także zgodę sądu opiekuńczego. </w:t>
      </w:r>
      <w:r w:rsidR="00F93413">
        <w:t xml:space="preserve">Do tego czasu </w:t>
      </w:r>
      <w:r w:rsidR="00F51F79">
        <w:t xml:space="preserve">występuje skutek bezskuteczności zawieszonej, a jak wynika z treści 18 §3 </w:t>
      </w:r>
      <w:r w:rsidR="00D22168">
        <w:t xml:space="preserve">zd. 1 </w:t>
      </w:r>
      <w:r w:rsidR="00F51F79">
        <w:t xml:space="preserve">k.c. Monika J. nie może powoływać się na brak zgody przedstawiciela ustawowego Marty D. </w:t>
      </w:r>
      <w:r w:rsidR="006B6757">
        <w:t>w tym przedmiocie</w:t>
      </w:r>
      <w:r w:rsidR="00F51F79">
        <w:t>.</w:t>
      </w:r>
      <w:r w:rsidR="003874A5">
        <w:t xml:space="preserve"> Gdyby Monika J. wyznaczyła Patrykowi D. termin do potwierdzenia umowy, po bezskutecznym jego upływie stałaby się wolna od zob</w:t>
      </w:r>
      <w:r w:rsidR="00D22168">
        <w:t>o</w:t>
      </w:r>
      <w:r w:rsidR="003874A5">
        <w:t>wiązania</w:t>
      </w:r>
      <w:r w:rsidR="00D22168">
        <w:t xml:space="preserve"> (art. 18 §3  zd. 2 k.c.), jednak tego nie uczyniła. </w:t>
      </w:r>
      <w:r w:rsidR="003874A5">
        <w:t>Dlatego</w:t>
      </w:r>
      <w:r w:rsidR="00D22168">
        <w:t xml:space="preserve"> nadal jest związana umową w tym zakresie, że jeżeli Patryk D. potwierdzi umowę, </w:t>
      </w:r>
      <w:r w:rsidR="003874A5">
        <w:t>Monik</w:t>
      </w:r>
      <w:r w:rsidR="006B6757">
        <w:t>a</w:t>
      </w:r>
      <w:r w:rsidR="003874A5">
        <w:t xml:space="preserve"> J. </w:t>
      </w:r>
      <w:r w:rsidR="00D22168">
        <w:t>będzie zobowiązana do odbioru laptopa i zapłaty ceny</w:t>
      </w:r>
      <w:r w:rsidR="003874A5">
        <w:t xml:space="preserve">. </w:t>
      </w:r>
    </w:p>
    <w:p w:rsidR="008640BB" w:rsidRDefault="008640BB" w:rsidP="008640BB"/>
    <w:p w:rsidR="009A3295" w:rsidRDefault="00D324D2" w:rsidP="00D324D2">
      <w:pPr>
        <w:pStyle w:val="Akapitzlist"/>
        <w:numPr>
          <w:ilvl w:val="0"/>
          <w:numId w:val="5"/>
        </w:numPr>
      </w:pPr>
      <w:r>
        <w:t xml:space="preserve">Czy ubezwłasnowolnienie częściowe Marty D. </w:t>
      </w:r>
      <w:r w:rsidR="006B6757">
        <w:t>„</w:t>
      </w:r>
      <w:r>
        <w:t>automatycznie</w:t>
      </w:r>
      <w:r w:rsidR="006B6757">
        <w:t>”</w:t>
      </w:r>
      <w:r>
        <w:t xml:space="preserve"> prowadzi do ograniczenia jej w </w:t>
      </w:r>
      <w:r w:rsidR="006B6757">
        <w:t>zdolności do czynności prawnych</w:t>
      </w:r>
      <w:r>
        <w:t xml:space="preserve">? </w:t>
      </w:r>
    </w:p>
    <w:p w:rsidR="006B6757" w:rsidRDefault="006B6757" w:rsidP="006B6757">
      <w:pPr>
        <w:pStyle w:val="Akapitzlist"/>
      </w:pPr>
      <w:r>
        <w:t>Tak.</w:t>
      </w:r>
    </w:p>
    <w:p w:rsidR="006B6757" w:rsidRDefault="006B6757" w:rsidP="006B6757">
      <w:pPr>
        <w:pStyle w:val="Akapitzlist"/>
      </w:pPr>
      <w:r>
        <w:t xml:space="preserve">Jak wynika z treści art. 15 k.c. osoby ubezwłasnowolnione częściowo posiadają ograniczoną zdolność do czynności prawnych. Ww. przepis nie wymaga spełnienia dodatkowych warunków w tym zakresie. To oznacza, że w chwili uprawomocnienia się orzeczenia w przedmiocie częściowego ubezwłasnowolnienia Marty D. z mocy prawa </w:t>
      </w:r>
      <w:r w:rsidR="00985610">
        <w:t xml:space="preserve">stała się ona osobą mającą </w:t>
      </w:r>
      <w:r>
        <w:t>ograniczon</w:t>
      </w:r>
      <w:r w:rsidR="00985610">
        <w:t>ą</w:t>
      </w:r>
      <w:r>
        <w:t xml:space="preserve"> </w:t>
      </w:r>
      <w:r w:rsidR="00985610">
        <w:t>zdolność</w:t>
      </w:r>
      <w:r>
        <w:t xml:space="preserve"> do czynności prawnych.</w:t>
      </w:r>
    </w:p>
    <w:p w:rsidR="006B6757" w:rsidRDefault="006B6757" w:rsidP="006B6757">
      <w:pPr>
        <w:pStyle w:val="Akapitzlist"/>
      </w:pPr>
    </w:p>
    <w:p w:rsidR="00D324D2" w:rsidRDefault="00D324D2" w:rsidP="00D324D2">
      <w:pPr>
        <w:pStyle w:val="Akapitzlist"/>
        <w:numPr>
          <w:ilvl w:val="0"/>
          <w:numId w:val="5"/>
        </w:numPr>
      </w:pPr>
      <w:r>
        <w:t xml:space="preserve">Czy niepoinformowanie Moniki J. </w:t>
      </w:r>
      <w:r w:rsidR="009A0320">
        <w:t xml:space="preserve">przed zawarciem umowy </w:t>
      </w:r>
      <w:r>
        <w:t>o fakcie</w:t>
      </w:r>
      <w:r w:rsidR="009A0320">
        <w:t xml:space="preserve"> ubezwłasnowolnienia Marty D. prowadzi do nieważności tej umowy?</w:t>
      </w:r>
    </w:p>
    <w:p w:rsidR="00985610" w:rsidRDefault="00985610" w:rsidP="00985610">
      <w:pPr>
        <w:pStyle w:val="Akapitzlist"/>
      </w:pPr>
      <w:r>
        <w:t>Nie.</w:t>
      </w:r>
    </w:p>
    <w:p w:rsidR="00985610" w:rsidRDefault="00985610" w:rsidP="00985610">
      <w:pPr>
        <w:pStyle w:val="Akapitzlist"/>
      </w:pPr>
      <w:r>
        <w:t xml:space="preserve">Wiedza albo niewiedza Moniki J. dotycząca częściowego ubezwłasnowolnienia Marty D. nie wpływa na ważność zawartej przez Martę D. umowy sprzedaży. A to dlatego, że przepisy prawne, w </w:t>
      </w:r>
      <w:r w:rsidR="00DB50DA">
        <w:t>szczególności</w:t>
      </w:r>
      <w:r>
        <w:t xml:space="preserve"> art. 17 i </w:t>
      </w:r>
      <w:r w:rsidR="00DB50DA">
        <w:t xml:space="preserve">art. </w:t>
      </w:r>
      <w:r>
        <w:t>18 k.c. nie uzależniają skutków czynności prawnej dokonanej przez osobę z ograniczoną zdolnością do czynności prawnych od świadomości jej kontrahenta w zakresie występujących po jej stronie ograniczeń.</w:t>
      </w:r>
    </w:p>
    <w:p w:rsidR="00985610" w:rsidRDefault="00985610" w:rsidP="00985610"/>
    <w:p w:rsidR="00AB3690" w:rsidRDefault="004416B3" w:rsidP="00A3675A">
      <w:pPr>
        <w:pStyle w:val="Akapitzlist"/>
        <w:numPr>
          <w:ilvl w:val="0"/>
          <w:numId w:val="5"/>
        </w:numPr>
      </w:pPr>
      <w:r>
        <w:t xml:space="preserve">Czy umowa sprzedaży </w:t>
      </w:r>
      <w:r w:rsidR="00823F62">
        <w:t>z dnia</w:t>
      </w:r>
      <w:r>
        <w:t xml:space="preserve"> 1 kwietnia 2020 r. zawiera </w:t>
      </w:r>
      <w:r w:rsidRPr="004416B3">
        <w:rPr>
          <w:i/>
        </w:rPr>
        <w:t>essentialia negotii</w:t>
      </w:r>
      <w:r>
        <w:t xml:space="preserve"> umowy sprzedaży uregulowanej w art. 535 k.c.?</w:t>
      </w:r>
    </w:p>
    <w:p w:rsidR="00DB50DA" w:rsidRDefault="00DB50DA" w:rsidP="00DB50DA">
      <w:pPr>
        <w:pStyle w:val="Akapitzlist"/>
      </w:pPr>
      <w:r>
        <w:t>Tak.</w:t>
      </w:r>
    </w:p>
    <w:p w:rsidR="00DB50DA" w:rsidRPr="004416B3" w:rsidRDefault="00EC087D" w:rsidP="00DB50DA">
      <w:pPr>
        <w:pStyle w:val="Akapitzlist"/>
      </w:pPr>
      <w:r>
        <w:t>Do e</w:t>
      </w:r>
      <w:r w:rsidR="000A52EB" w:rsidRPr="000A52EB">
        <w:rPr>
          <w:i/>
        </w:rPr>
        <w:t xml:space="preserve">ssentialia negotii, </w:t>
      </w:r>
      <w:r w:rsidR="000A52EB">
        <w:t>tj. e</w:t>
      </w:r>
      <w:r w:rsidR="001D17E3">
        <w:t>lement</w:t>
      </w:r>
      <w:r>
        <w:t>ów</w:t>
      </w:r>
      <w:r w:rsidR="001D17E3">
        <w:t xml:space="preserve"> przedmiotowo istotn</w:t>
      </w:r>
      <w:r>
        <w:t xml:space="preserve">ych </w:t>
      </w:r>
      <w:r w:rsidR="001D17E3">
        <w:t>konieczn</w:t>
      </w:r>
      <w:r>
        <w:t>ych</w:t>
      </w:r>
      <w:r w:rsidR="001D17E3">
        <w:t xml:space="preserve"> do zakwalifikowania danej umowy do typu umowy sprzedaży uregulowanej w art.</w:t>
      </w:r>
      <w:r w:rsidR="00FF26D8">
        <w:t xml:space="preserve"> 535 k.c. </w:t>
      </w:r>
      <w:r>
        <w:t>należy</w:t>
      </w:r>
      <w:r w:rsidR="001D17E3">
        <w:t xml:space="preserve"> </w:t>
      </w:r>
      <w:r w:rsidR="000A52EB">
        <w:t>ustalenie</w:t>
      </w:r>
      <w:r w:rsidR="001D17E3">
        <w:t xml:space="preserve"> przedmiotu sprzedaży </w:t>
      </w:r>
      <w:r w:rsidR="00FF26D8">
        <w:t>i ceny, którą kupujący zobowiązuje się uiścić w zamian za przeniesienie na niego przez sprzedawcę prawa własności rzeczy i jej wydanie.</w:t>
      </w:r>
      <w:r>
        <w:t xml:space="preserve"> W stanie faktycznym kazusu te elementy zostały określone przez strony, co uzasadnia pozytywną odpowiedź na zadane pytanie.</w:t>
      </w:r>
    </w:p>
    <w:p w:rsidR="00AB3690" w:rsidRDefault="00AB3690" w:rsidP="00AB3690">
      <w:pPr>
        <w:ind w:left="360"/>
      </w:pPr>
    </w:p>
    <w:p w:rsidR="00412C86" w:rsidRDefault="00412C86" w:rsidP="00C47986">
      <w:pPr>
        <w:rPr>
          <w:b/>
        </w:rPr>
      </w:pPr>
      <w:r>
        <w:rPr>
          <w:b/>
        </w:rPr>
        <w:t xml:space="preserve">Kazus nr </w:t>
      </w:r>
      <w:r w:rsidR="004752AB">
        <w:rPr>
          <w:b/>
        </w:rPr>
        <w:t>2</w:t>
      </w:r>
      <w:r>
        <w:rPr>
          <w:b/>
        </w:rPr>
        <w:t xml:space="preserve"> </w:t>
      </w:r>
      <w:r w:rsidR="004E15B6">
        <w:rPr>
          <w:b/>
        </w:rPr>
        <w:t xml:space="preserve"> (B. Jelonek-Jarco, J. Zawadzka, F. Zoll (red.), </w:t>
      </w:r>
      <w:r w:rsidR="004E15B6" w:rsidRPr="00DC2B21">
        <w:rPr>
          <w:b/>
          <w:i/>
        </w:rPr>
        <w:t>Prawo cywilne. Kazusy z rozwiązaniami,</w:t>
      </w:r>
      <w:r w:rsidR="004E15B6">
        <w:rPr>
          <w:b/>
        </w:rPr>
        <w:t xml:space="preserve"> </w:t>
      </w:r>
      <w:r w:rsidR="00093E10">
        <w:rPr>
          <w:b/>
        </w:rPr>
        <w:t xml:space="preserve">Wydanie 2, </w:t>
      </w:r>
      <w:r w:rsidR="004E15B6">
        <w:rPr>
          <w:b/>
        </w:rPr>
        <w:t>Warszawa 2019)</w:t>
      </w:r>
    </w:p>
    <w:p w:rsidR="00571BA6" w:rsidRDefault="00571BA6" w:rsidP="00C47986">
      <w:pPr>
        <w:rPr>
          <w:b/>
        </w:rPr>
      </w:pPr>
    </w:p>
    <w:p w:rsidR="004752AB" w:rsidRPr="00571BA6" w:rsidRDefault="00571BA6" w:rsidP="004752AB">
      <w:r w:rsidRPr="004768D0">
        <w:rPr>
          <w:highlight w:val="green"/>
        </w:rPr>
        <w:t>Franciszek M. jest dobrze zarabiającym przedsiębiorcą. Od kilku miesięcy wiele godzin w tygodniu spędza w kasynach. Jego żona Anna M. obawia się o przyszłość rodziny, w szczególności dwojga małoletnich dzieci i z tego względu ma zamiar złożyć wniosek o ubezwłasnowolnienie męża.</w:t>
      </w:r>
      <w:r>
        <w:t xml:space="preserve"> </w:t>
      </w:r>
    </w:p>
    <w:p w:rsidR="004B5187" w:rsidRPr="004B5187" w:rsidRDefault="004B5187" w:rsidP="004752AB">
      <w:pPr>
        <w:rPr>
          <w:b/>
        </w:rPr>
      </w:pPr>
    </w:p>
    <w:p w:rsidR="004B5187" w:rsidRPr="004B5187" w:rsidRDefault="004B5187" w:rsidP="004752AB">
      <w:pPr>
        <w:rPr>
          <w:b/>
        </w:rPr>
      </w:pPr>
      <w:r w:rsidRPr="004B5187">
        <w:rPr>
          <w:b/>
        </w:rPr>
        <w:t>Pytanie:</w:t>
      </w:r>
    </w:p>
    <w:p w:rsidR="004B5187" w:rsidRDefault="00571BA6" w:rsidP="00571BA6">
      <w:r>
        <w:t>Czy sąd powinien uwzględnić wniosek?</w:t>
      </w:r>
    </w:p>
    <w:p w:rsidR="0045366E" w:rsidRDefault="0045366E" w:rsidP="004B5187">
      <w:r>
        <w:t>Nie</w:t>
      </w:r>
    </w:p>
    <w:p w:rsidR="003459FC" w:rsidRDefault="002425AC" w:rsidP="004B5187">
      <w:r>
        <w:t>Ubezwłasnowolnienie całkowite wymaga spełnienia 3 przesłanek: osoba ubezwłasnowolniana ma ukończone 13 lat, ma chorobę psychiczną, niedorozwój umysłowy albo innego rodzaju zaburzenia psychiczne (np. pijaństwo lub narkomanię)</w:t>
      </w:r>
      <w:r w:rsidR="00162BBC">
        <w:t xml:space="preserve"> oraz wskutek tej choroby lub zaburzenia nie jest w stanie kierować swym postępowaniem (art. 13 § 1 k.c.). Natomiast z</w:t>
      </w:r>
      <w:r w:rsidR="006459F9">
        <w:t>godnie z treścią art.</w:t>
      </w:r>
      <w:r w:rsidR="0045366E">
        <w:t xml:space="preserve"> 16</w:t>
      </w:r>
      <w:r w:rsidR="00162BBC">
        <w:t xml:space="preserve"> §</w:t>
      </w:r>
      <w:r w:rsidR="00091F87">
        <w:t xml:space="preserve"> 1</w:t>
      </w:r>
      <w:r w:rsidR="0045366E">
        <w:t xml:space="preserve"> k.c.</w:t>
      </w:r>
      <w:r w:rsidR="00162BBC">
        <w:t>,</w:t>
      </w:r>
      <w:r w:rsidR="0045366E">
        <w:t xml:space="preserve"> ubezwłasnowolnienie częściowe jest uzasadnione, jeżeli osoba ubezwłasnowolniana </w:t>
      </w:r>
      <w:r w:rsidR="00162BBC">
        <w:t xml:space="preserve">jest pełnoletnia, </w:t>
      </w:r>
      <w:r w:rsidR="0045366E">
        <w:t>cier</w:t>
      </w:r>
      <w:r w:rsidR="00162BBC">
        <w:t>pi na któreś ze wskazanych wyżej zaburzeń</w:t>
      </w:r>
      <w:r w:rsidR="0045366E">
        <w:t xml:space="preserve"> </w:t>
      </w:r>
      <w:r w:rsidR="00162BBC">
        <w:t xml:space="preserve">(lub chorobę), nie ma </w:t>
      </w:r>
      <w:r w:rsidR="00162BBC">
        <w:t>podstaw do jej całkowitego ubezwłasnowolnienia</w:t>
      </w:r>
      <w:r w:rsidR="00162BBC">
        <w:t>, lecz</w:t>
      </w:r>
      <w:r w:rsidR="0045366E">
        <w:t xml:space="preserve"> potrzebna jest pomoc do prowadzenia jej spraw</w:t>
      </w:r>
      <w:r w:rsidR="007E647F">
        <w:t xml:space="preserve">. </w:t>
      </w:r>
      <w:r w:rsidR="00162BBC">
        <w:t xml:space="preserve">Zarówno w przypadku ubezwłasnowolnienia całkowitego, jak i ubezwłasnowolnienia częściowego </w:t>
      </w:r>
      <w:r w:rsidR="00D00E0E">
        <w:t xml:space="preserve">przesłanki </w:t>
      </w:r>
      <w:r w:rsidR="00162BBC">
        <w:t xml:space="preserve">je uzasadniające </w:t>
      </w:r>
      <w:r w:rsidR="00D00E0E">
        <w:t>pow</w:t>
      </w:r>
      <w:r w:rsidR="00162BBC">
        <w:t xml:space="preserve">inny być spełnione łącznie. </w:t>
      </w:r>
    </w:p>
    <w:p w:rsidR="007C6645" w:rsidRDefault="00BD0DDC" w:rsidP="004B5187">
      <w:r>
        <w:t>Jednak z</w:t>
      </w:r>
      <w:r w:rsidR="007E647F">
        <w:t>e stanu faktycznego przedstawionego w kazusie nie wynika, żeby u Franciszka M. został</w:t>
      </w:r>
      <w:r>
        <w:t xml:space="preserve">a </w:t>
      </w:r>
      <w:r w:rsidR="007E647F">
        <w:t>stwierdzon</w:t>
      </w:r>
      <w:r>
        <w:t>a</w:t>
      </w:r>
      <w:r w:rsidR="007E647F">
        <w:t xml:space="preserve"> choroba psychiczna albo innego rodzaju zaburzeni</w:t>
      </w:r>
      <w:r>
        <w:t>e</w:t>
      </w:r>
      <w:r w:rsidR="007E647F">
        <w:t xml:space="preserve"> psychiczne. </w:t>
      </w:r>
      <w:r w:rsidR="0008146D">
        <w:t xml:space="preserve">Na tym etapie </w:t>
      </w:r>
      <w:r w:rsidR="0008146D">
        <w:t>w podanym stanie faktycznym</w:t>
      </w:r>
      <w:r w:rsidR="0008146D">
        <w:t xml:space="preserve"> również brak podstaw do stwierdzenia uzależnienia od gier hazardowych. </w:t>
      </w:r>
      <w:r w:rsidR="007E647F">
        <w:t xml:space="preserve">Jednocześnie </w:t>
      </w:r>
      <w:r w:rsidR="00D00E0E">
        <w:t>Franciszek</w:t>
      </w:r>
      <w:r w:rsidR="007E647F">
        <w:t xml:space="preserve"> M. dobrze </w:t>
      </w:r>
      <w:r w:rsidR="00162BBC">
        <w:t xml:space="preserve">sobie </w:t>
      </w:r>
      <w:r w:rsidR="007E647F">
        <w:t>radzi z prowadzeniem spraw związanych z działalnością gospodarc</w:t>
      </w:r>
      <w:r w:rsidR="00162BBC">
        <w:t>zą,</w:t>
      </w:r>
      <w:r w:rsidR="003459FC">
        <w:t xml:space="preserve"> a pobyt w kasynie na ten moment nie wypływa </w:t>
      </w:r>
      <w:r w:rsidR="0008146D">
        <w:t xml:space="preserve">negatywnie na jego życie zawodowe. </w:t>
      </w:r>
      <w:r w:rsidR="0008146D">
        <w:t>Ponadto samo ewentualne marnotrawstwo środków pieniężnych nie uzasadnia wniosku o ubezwłasnowolnienie takiej osoby (tym bardziej, że z treści kazusu w ogóle nie wynika, żeby Franciszek M. marnotrawił pieniądze</w:t>
      </w:r>
      <w:r w:rsidR="0008146D">
        <w:t xml:space="preserve">), a </w:t>
      </w:r>
      <w:r w:rsidR="00162BBC">
        <w:t xml:space="preserve">obawy jego żony dotyczą przyszłości. </w:t>
      </w:r>
      <w:r w:rsidR="007D0E7B">
        <w:t xml:space="preserve">Warto także zauważyć, że </w:t>
      </w:r>
      <w:r w:rsidR="007D0E7B">
        <w:t>celem ubezwłasnowolnienia jest ochrona interesów osoby ubezwłasnowolnianej, a nie członków jego rodziny, nie dokonuje się go również prewencyjnie.</w:t>
      </w:r>
      <w:r w:rsidR="0008146D">
        <w:t xml:space="preserve"> </w:t>
      </w:r>
      <w:r w:rsidR="007D0E7B">
        <w:t xml:space="preserve">Podsumowując, należy stwierdzić, że w stanie faktycznym przedstawionym w kazusie nie wystąpiła żadna z przesłanek uzasadniająca </w:t>
      </w:r>
      <w:r w:rsidR="0008146D">
        <w:t>ubezwłasnowolnienie</w:t>
      </w:r>
      <w:r w:rsidR="007D0E7B">
        <w:t xml:space="preserve"> osoby pełnoletniej (zarówno częściowe, jak i </w:t>
      </w:r>
      <w:r w:rsidR="007D0E7B">
        <w:lastRenderedPageBreak/>
        <w:t xml:space="preserve">całkowite), a tym bardziej nie wystąpiły one łącznie. Dlatego </w:t>
      </w:r>
      <w:r w:rsidR="007E647F">
        <w:t xml:space="preserve">ubezwłasnowolnienie Franciszka M. </w:t>
      </w:r>
      <w:r w:rsidR="00121887">
        <w:t>nie jest zasadne i sąd powinien oddalić wniosek.</w:t>
      </w:r>
      <w:r w:rsidR="007E647F">
        <w:t xml:space="preserve"> </w:t>
      </w:r>
    </w:p>
    <w:p w:rsidR="005D1CBA" w:rsidRDefault="005D1CBA" w:rsidP="004B5187"/>
    <w:p w:rsidR="005D1CBA" w:rsidRDefault="005D1CBA" w:rsidP="004B5187">
      <w:pPr>
        <w:rPr>
          <w:b/>
        </w:rPr>
      </w:pPr>
      <w:r w:rsidRPr="005D1CBA">
        <w:rPr>
          <w:b/>
        </w:rPr>
        <w:t>Kazus nr 3</w:t>
      </w:r>
    </w:p>
    <w:p w:rsidR="005D1CBA" w:rsidRDefault="005D1CBA" w:rsidP="004B5187">
      <w:pPr>
        <w:rPr>
          <w:b/>
        </w:rPr>
      </w:pPr>
    </w:p>
    <w:p w:rsidR="00571BA6" w:rsidRDefault="00275DA3" w:rsidP="004B5187">
      <w:r>
        <w:t xml:space="preserve">Albert G. </w:t>
      </w:r>
      <w:r w:rsidR="00814495">
        <w:t xml:space="preserve">od 30 lat </w:t>
      </w:r>
      <w:r>
        <w:t>prowadził jednoosobową działalność gospodarczą, polegającą na produkcji i sprzedaży płaszczy zimowych. Był właścicielem dwóch nieruchomości gruntowych zabudowanych budynkami mieszkalnymi</w:t>
      </w:r>
      <w:r w:rsidR="00814495">
        <w:t xml:space="preserve"> i</w:t>
      </w:r>
      <w:r>
        <w:t xml:space="preserve"> dwóch lokali mieszkalnych o powierzchni użytkowej przekraczającej 100 m</w:t>
      </w:r>
      <w:r>
        <w:rPr>
          <w:vertAlign w:val="superscript"/>
        </w:rPr>
        <w:t>2</w:t>
      </w:r>
      <w:r w:rsidR="00814495">
        <w:t xml:space="preserve">. Albert G. miał żonę Amandę i czworo dzieci. </w:t>
      </w:r>
      <w:r w:rsidR="00C7636C" w:rsidRPr="004768D0">
        <w:rPr>
          <w:highlight w:val="green"/>
        </w:rPr>
        <w:t xml:space="preserve">W dniu 12 stycznia 2018 r. </w:t>
      </w:r>
      <w:r w:rsidRPr="004768D0">
        <w:rPr>
          <w:highlight w:val="green"/>
        </w:rPr>
        <w:t>Albert</w:t>
      </w:r>
      <w:r w:rsidR="00814495" w:rsidRPr="004768D0">
        <w:rPr>
          <w:highlight w:val="green"/>
        </w:rPr>
        <w:t xml:space="preserve">owi </w:t>
      </w:r>
      <w:r w:rsidRPr="004768D0">
        <w:rPr>
          <w:highlight w:val="green"/>
        </w:rPr>
        <w:t>G.</w:t>
      </w:r>
      <w:r>
        <w:t xml:space="preserve"> </w:t>
      </w:r>
      <w:r w:rsidR="00814495">
        <w:t xml:space="preserve">przydarzył się nieszczęśliwy wypadek, wskutek którego </w:t>
      </w:r>
      <w:r w:rsidR="00814495" w:rsidRPr="004768D0">
        <w:rPr>
          <w:highlight w:val="green"/>
        </w:rPr>
        <w:t>zmarł</w:t>
      </w:r>
      <w:r w:rsidR="008F18D0" w:rsidRPr="004768D0">
        <w:rPr>
          <w:highlight w:val="green"/>
        </w:rPr>
        <w:t>.</w:t>
      </w:r>
      <w:r w:rsidR="008F18D0">
        <w:t xml:space="preserve"> </w:t>
      </w:r>
      <w:r w:rsidR="008F18D0" w:rsidRPr="004768D0">
        <w:rPr>
          <w:highlight w:val="green"/>
        </w:rPr>
        <w:t>W związku z tym, że zmarły Albert G. nie pozostawił po sobie testamentu, spadek po nim w drodze dziedziczenia ustawowego naby</w:t>
      </w:r>
      <w:r w:rsidR="00F473D5" w:rsidRPr="004768D0">
        <w:rPr>
          <w:highlight w:val="green"/>
        </w:rPr>
        <w:t>wają</w:t>
      </w:r>
      <w:r w:rsidR="008F18D0" w:rsidRPr="004768D0">
        <w:rPr>
          <w:highlight w:val="green"/>
        </w:rPr>
        <w:t xml:space="preserve"> jego żona i dzieci.</w:t>
      </w:r>
      <w:r w:rsidR="008F18D0">
        <w:t xml:space="preserve"> </w:t>
      </w:r>
      <w:r w:rsidR="00F473D5">
        <w:t xml:space="preserve">Jednakże </w:t>
      </w:r>
      <w:r w:rsidR="00F473D5" w:rsidRPr="004768D0">
        <w:rPr>
          <w:highlight w:val="green"/>
        </w:rPr>
        <w:t>p</w:t>
      </w:r>
      <w:r w:rsidR="008F18D0" w:rsidRPr="004768D0">
        <w:rPr>
          <w:highlight w:val="green"/>
        </w:rPr>
        <w:t>o miesiącu od śmierci Alberta G. okazało się, że jego żona Amanda G. jest w 1</w:t>
      </w:r>
      <w:r w:rsidR="00F473D5" w:rsidRPr="004768D0">
        <w:rPr>
          <w:highlight w:val="green"/>
        </w:rPr>
        <w:t>0</w:t>
      </w:r>
      <w:r w:rsidR="008F18D0" w:rsidRPr="004768D0">
        <w:rPr>
          <w:highlight w:val="green"/>
        </w:rPr>
        <w:t xml:space="preserve"> tygodniu ciąży.</w:t>
      </w:r>
      <w:r w:rsidR="008F18D0">
        <w:t xml:space="preserve"> </w:t>
      </w:r>
      <w:r w:rsidR="00F473D5">
        <w:t>Albert G. w chwili śmierci nie wiedział, że zostanie ojcem po raz piąty.</w:t>
      </w:r>
    </w:p>
    <w:p w:rsidR="00571BA6" w:rsidRDefault="00571BA6" w:rsidP="004B5187"/>
    <w:p w:rsidR="00177D83" w:rsidRDefault="00177D83" w:rsidP="004B5187">
      <w:pPr>
        <w:rPr>
          <w:b/>
        </w:rPr>
      </w:pPr>
      <w:r w:rsidRPr="00404074">
        <w:rPr>
          <w:b/>
        </w:rPr>
        <w:t>Pytani</w:t>
      </w:r>
      <w:r w:rsidR="0032331F">
        <w:rPr>
          <w:b/>
        </w:rPr>
        <w:t>e</w:t>
      </w:r>
      <w:r w:rsidRPr="00404074">
        <w:rPr>
          <w:b/>
        </w:rPr>
        <w:t>:</w:t>
      </w:r>
    </w:p>
    <w:p w:rsidR="00C76CEC" w:rsidRDefault="00F473D5" w:rsidP="00F473D5">
      <w:r w:rsidRPr="00F473D5">
        <w:t xml:space="preserve">Czy </w:t>
      </w:r>
      <w:r w:rsidRPr="00F473D5">
        <w:rPr>
          <w:i/>
        </w:rPr>
        <w:t>nasciturus</w:t>
      </w:r>
      <w:r w:rsidRPr="00F473D5">
        <w:t xml:space="preserve"> </w:t>
      </w:r>
      <w:r w:rsidR="00295F18">
        <w:t>może dziedziczyć</w:t>
      </w:r>
      <w:r w:rsidRPr="00F473D5">
        <w:t xml:space="preserve"> po zmarłym ojcu?</w:t>
      </w:r>
    </w:p>
    <w:p w:rsidR="00EB5FEB" w:rsidRDefault="00EB5FEB" w:rsidP="00F473D5">
      <w:r>
        <w:t>Tak</w:t>
      </w:r>
    </w:p>
    <w:p w:rsidR="00EB5FEB" w:rsidRDefault="00EB5FEB" w:rsidP="00F473D5">
      <w:r>
        <w:t>Na podstawie art. 92</w:t>
      </w:r>
      <w:r w:rsidR="00091F87">
        <w:t>7 §</w:t>
      </w:r>
      <w:r>
        <w:t xml:space="preserve">2 k.c. dziecko w chwili otwarcia spadku już poczęte może być spadkobiercą, jeżeli urodzi się żywe. Z treści ww. przepisu wynika, że nasciturus posiada warunkową zdolność prawną pod warunkiem zawieszającym żywego urodzenia. </w:t>
      </w:r>
      <w:r w:rsidR="00914C91">
        <w:t>W chwili śmierci Alberta G. j</w:t>
      </w:r>
      <w:r w:rsidR="00091F87">
        <w:t>ego żona była</w:t>
      </w:r>
      <w:r w:rsidR="00914C91">
        <w:t xml:space="preserve"> już</w:t>
      </w:r>
      <w:r w:rsidR="00091F87">
        <w:t xml:space="preserve"> w</w:t>
      </w:r>
      <w:r w:rsidR="00914C91">
        <w:t xml:space="preserve"> 6 tygodniu ciąży, a więc nie ma żadnych wątpliwości, że hipoteza normy wyrażona w art. </w:t>
      </w:r>
      <w:r w:rsidR="00091F87">
        <w:t>927 §</w:t>
      </w:r>
      <w:r w:rsidR="00914C91" w:rsidRPr="00914C91">
        <w:t>2 k.c.</w:t>
      </w:r>
      <w:r w:rsidR="00914C91">
        <w:t xml:space="preserve"> została spełniona. Stan świadomości Alberta G. </w:t>
      </w:r>
      <w:r w:rsidR="00025341">
        <w:t>co do istnienia płodu</w:t>
      </w:r>
      <w:r w:rsidR="00914C91">
        <w:t xml:space="preserve"> w okolicznościach tej sprawy</w:t>
      </w:r>
      <w:r w:rsidR="00025341" w:rsidRPr="00025341">
        <w:t xml:space="preserve"> </w:t>
      </w:r>
      <w:r w:rsidR="00025341">
        <w:t>nie ma żadnego znaczenia</w:t>
      </w:r>
      <w:r w:rsidR="00914C91">
        <w:t>.</w:t>
      </w:r>
      <w:r w:rsidR="00025341">
        <w:t xml:space="preserve"> A zatem, jeżeli dziecko urodzi się żywe, nabędzie spadek po zmarłym ojcu Albercie G. razem z pozostałym rodzeństwem i matką Amandą G.</w:t>
      </w:r>
    </w:p>
    <w:p w:rsidR="004E431A" w:rsidRDefault="004E431A" w:rsidP="00F473D5"/>
    <w:p w:rsidR="004E431A" w:rsidRDefault="004E431A" w:rsidP="00F473D5">
      <w:r>
        <w:t>(Uwaga: jeżeli ktoś napisał o domniemaniu ojcostwa dziecka – zwiększa to wartość merytoryczną odpowiedzi. Nie piszę o tym w rozwiązaniu, gdyż prawo rodzinne nie wchodzi w zakres naszych ćwiczeń i od Państwa tego nie wymagam, natomiast znajomość także tego zagadnienia zasługuje na pochwałę.)</w:t>
      </w:r>
    </w:p>
    <w:p w:rsidR="00747203" w:rsidRDefault="00747203" w:rsidP="00F473D5"/>
    <w:p w:rsidR="00747203" w:rsidRDefault="00747203" w:rsidP="009D784B">
      <w:pPr>
        <w:jc w:val="center"/>
        <w:rPr>
          <w:b/>
        </w:rPr>
      </w:pPr>
      <w:r w:rsidRPr="009D784B">
        <w:rPr>
          <w:b/>
        </w:rPr>
        <w:t>NAJCZĘŚCIEJ POPEŁNIANE BŁĘDY</w:t>
      </w:r>
    </w:p>
    <w:p w:rsidR="009D784B" w:rsidRPr="009D784B" w:rsidRDefault="009D784B" w:rsidP="009D784B">
      <w:pPr>
        <w:jc w:val="center"/>
        <w:rPr>
          <w:b/>
        </w:rPr>
      </w:pPr>
    </w:p>
    <w:p w:rsidR="00747203" w:rsidRPr="009D784B" w:rsidRDefault="00747203" w:rsidP="00F473D5">
      <w:pPr>
        <w:rPr>
          <w:b/>
        </w:rPr>
      </w:pPr>
      <w:r w:rsidRPr="009D784B">
        <w:rPr>
          <w:b/>
        </w:rPr>
        <w:t>Kazus nr 1</w:t>
      </w:r>
    </w:p>
    <w:p w:rsidR="00C6534D" w:rsidRDefault="00C6534D" w:rsidP="00747203">
      <w:pPr>
        <w:pStyle w:val="Akapitzlist"/>
        <w:numPr>
          <w:ilvl w:val="0"/>
          <w:numId w:val="7"/>
        </w:numPr>
      </w:pPr>
      <w:r>
        <w:t>Umowa sprzedaży jest nieważna i dotknięta skutkiem bezskuteczności zawieszonej.</w:t>
      </w:r>
    </w:p>
    <w:p w:rsidR="00E640A5" w:rsidRDefault="00E640A5" w:rsidP="00E640A5">
      <w:pPr>
        <w:pStyle w:val="Akapitzlist"/>
      </w:pPr>
    </w:p>
    <w:p w:rsidR="001416A0" w:rsidRDefault="001416A0" w:rsidP="001416A0">
      <w:r w:rsidRPr="00E640A5">
        <w:rPr>
          <w:b/>
        </w:rPr>
        <w:t>Wyjaśnienie:</w:t>
      </w:r>
      <w:r>
        <w:t xml:space="preserve"> czynność prawna nie może być dotknięta jednocześnie skutkiem nieważności i bezskuteczności zawieszonej. </w:t>
      </w:r>
      <w:r w:rsidR="006976A6">
        <w:t>Stan bezskuteczności</w:t>
      </w:r>
      <w:r>
        <w:t xml:space="preserve"> zawieszon</w:t>
      </w:r>
      <w:r w:rsidR="006976A6">
        <w:t>ej</w:t>
      </w:r>
      <w:r>
        <w:t xml:space="preserve"> oznacza, że czynność prawna pozostaje „w zawieszeniu”</w:t>
      </w:r>
      <w:r w:rsidR="006976A6">
        <w:t xml:space="preserve">, </w:t>
      </w:r>
      <w:r w:rsidR="00E640A5">
        <w:t>nie jest ani w pełni</w:t>
      </w:r>
      <w:r>
        <w:t xml:space="preserve"> ważna, ani nie jest nieważna</w:t>
      </w:r>
      <w:r w:rsidR="00E640A5">
        <w:t>. W omawianym przypadku występuje skutek bezskuteczności zawieszonej.</w:t>
      </w:r>
    </w:p>
    <w:p w:rsidR="00E640A5" w:rsidRDefault="00E640A5" w:rsidP="001416A0"/>
    <w:p w:rsidR="00747203" w:rsidRDefault="00747203" w:rsidP="00747203">
      <w:pPr>
        <w:pStyle w:val="Akapitzlist"/>
        <w:numPr>
          <w:ilvl w:val="0"/>
          <w:numId w:val="7"/>
        </w:numPr>
      </w:pPr>
      <w:r>
        <w:t>Niepoinformowanie Moniki J. o fakcie ubezwłasnowolnienia Marty D. prowadzi do nieważności umowy.</w:t>
      </w:r>
    </w:p>
    <w:p w:rsidR="00747203" w:rsidRDefault="00747203" w:rsidP="00747203">
      <w:pPr>
        <w:pStyle w:val="Akapitzlist"/>
        <w:numPr>
          <w:ilvl w:val="0"/>
          <w:numId w:val="7"/>
        </w:numPr>
      </w:pPr>
      <w:r>
        <w:t>Tylko Patryk D. mógł zawrzeć umowę z Moniką J.</w:t>
      </w:r>
    </w:p>
    <w:p w:rsidR="009D4763" w:rsidRDefault="009D4763" w:rsidP="009D4763">
      <w:pPr>
        <w:pStyle w:val="Akapitzlist"/>
      </w:pPr>
    </w:p>
    <w:p w:rsidR="009D4763" w:rsidRDefault="009D4763" w:rsidP="009D4763">
      <w:r w:rsidRPr="009D4763">
        <w:rPr>
          <w:b/>
        </w:rPr>
        <w:t>Wyjaśnienia</w:t>
      </w:r>
      <w:r>
        <w:t xml:space="preserve"> tych błędów wynikają z treści rozwiązania kazusu.</w:t>
      </w:r>
    </w:p>
    <w:p w:rsidR="00747203" w:rsidRDefault="00747203" w:rsidP="00747203">
      <w:pPr>
        <w:pStyle w:val="Akapitzlist"/>
      </w:pPr>
    </w:p>
    <w:p w:rsidR="00747203" w:rsidRPr="009D784B" w:rsidRDefault="00747203" w:rsidP="00F473D5">
      <w:pPr>
        <w:rPr>
          <w:b/>
        </w:rPr>
      </w:pPr>
      <w:r w:rsidRPr="009D784B">
        <w:rPr>
          <w:b/>
        </w:rPr>
        <w:t>Kazus nr 2</w:t>
      </w:r>
    </w:p>
    <w:p w:rsidR="008D6F73" w:rsidRDefault="008D6F73" w:rsidP="00931A8E">
      <w:pPr>
        <w:pStyle w:val="Akapitzlist"/>
        <w:numPr>
          <w:ilvl w:val="0"/>
          <w:numId w:val="8"/>
        </w:numPr>
      </w:pPr>
      <w:r>
        <w:t xml:space="preserve">Franciszek M. zostanie ubezwłasnowolniony częściowo </w:t>
      </w:r>
      <w:r w:rsidR="006976A6">
        <w:t xml:space="preserve">całkowicie </w:t>
      </w:r>
      <w:r>
        <w:t>przez sąd, ponieważ spędza czas w kasynie.</w:t>
      </w:r>
    </w:p>
    <w:p w:rsidR="006976A6" w:rsidRDefault="006976A6" w:rsidP="00931A8E">
      <w:pPr>
        <w:pStyle w:val="Akapitzlist"/>
        <w:numPr>
          <w:ilvl w:val="0"/>
          <w:numId w:val="8"/>
        </w:numPr>
      </w:pPr>
      <w:r>
        <w:t>Franciszek M. powinien został ubezwłasnowolniony całkowicie (lub częściowo), gdyż trwoni swój majątek, a w dodatek wpływa to negatywnie na jego żonę i dzieci.</w:t>
      </w:r>
    </w:p>
    <w:p w:rsidR="00DE100F" w:rsidRDefault="008D6F73" w:rsidP="00931A8E">
      <w:pPr>
        <w:pStyle w:val="Akapitzlist"/>
        <w:numPr>
          <w:ilvl w:val="0"/>
          <w:numId w:val="8"/>
        </w:numPr>
      </w:pPr>
      <w:r>
        <w:t>Fr</w:t>
      </w:r>
      <w:r w:rsidR="00DE100F">
        <w:t>anciszek M. nie jest w stanie kierować swoim postępowaniem.</w:t>
      </w:r>
    </w:p>
    <w:p w:rsidR="00E115D9" w:rsidRDefault="00E115D9" w:rsidP="00E115D9">
      <w:pPr>
        <w:pStyle w:val="Akapitzlist"/>
      </w:pPr>
    </w:p>
    <w:p w:rsidR="00310C33" w:rsidRDefault="00310C33" w:rsidP="00310C33">
      <w:r w:rsidRPr="001271B1">
        <w:rPr>
          <w:b/>
        </w:rPr>
        <w:t>Wyjaśnienie:</w:t>
      </w:r>
      <w:r>
        <w:t xml:space="preserve"> żeby prawidłowo rozwiązań ten kazus należało najpierw rozważyć, jakie przesłanki wymienione w przepisach uzasadniają ubezwłasnowolnienie, następnie porównać je ze stanem faktycznym opisanym w kazusie. Wiele osób zignorowało informację o tym, że Franciszek M. jest dobrze zarabiającym przedsiębiorcą. A to oznacza, że dobrze sobie radzi z prowadzeniem własnych spraw, prowadzi interes, zarabia, nie jest nieporadny, czas spędzany w kasynie (póki co) nie wpływa negatywnie na jego życie zawodowe (ktoś kupuje drogie samochody, ktoś kupuje dużo ubrań, butów, torebek, a on może wydawać swoje pieniądze w kasynie). </w:t>
      </w:r>
      <w:r w:rsidR="00887AA4">
        <w:t>Ponadto, w</w:t>
      </w:r>
      <w:r>
        <w:t xml:space="preserve"> kazusie </w:t>
      </w:r>
      <w:r w:rsidR="00887AA4">
        <w:t>nie jest powiedziane, że Franciszek M. marnotrawi pieniądze (w ogóle nie jest powiedziane, że wydaje pieniądze), a z informacji o żonie Franciszka</w:t>
      </w:r>
      <w:r w:rsidR="001271B1">
        <w:t xml:space="preserve"> M. dodatkowo wynika, że jej </w:t>
      </w:r>
      <w:r w:rsidR="00887AA4">
        <w:t xml:space="preserve">obawy są </w:t>
      </w:r>
      <w:r w:rsidR="009D4763">
        <w:t xml:space="preserve">skierowane na przyszłość. Nikogo </w:t>
      </w:r>
      <w:r w:rsidR="00887AA4">
        <w:t xml:space="preserve">nie można ubezwłasnowolnić </w:t>
      </w:r>
      <w:r w:rsidR="009D4763">
        <w:t>(</w:t>
      </w:r>
      <w:r w:rsidR="001271B1">
        <w:t>nawet czę</w:t>
      </w:r>
      <w:r w:rsidR="009D4763">
        <w:t>ściowo)</w:t>
      </w:r>
      <w:r w:rsidR="001271B1">
        <w:t xml:space="preserve"> tylko dlatego, że w przyszłości może sobie nie radzić</w:t>
      </w:r>
      <w:r w:rsidR="00E115D9">
        <w:t xml:space="preserve"> albo mieć kłopoty</w:t>
      </w:r>
      <w:r w:rsidR="009D4763">
        <w:t xml:space="preserve"> (sąd ustala występowanie przesłanek ubezwłasnowolnienia na moment orzekania). Ponadto</w:t>
      </w:r>
      <w:r w:rsidR="00DC2B21">
        <w:t xml:space="preserve"> ubezwłasnowolnienie następuje w interesie samej </w:t>
      </w:r>
      <w:r w:rsidR="001271B1">
        <w:t xml:space="preserve">osoby </w:t>
      </w:r>
      <w:r w:rsidR="00DC2B21">
        <w:t>ubezwłasnowolnianej.</w:t>
      </w:r>
      <w:r w:rsidR="009D4763">
        <w:t xml:space="preserve"> </w:t>
      </w:r>
      <w:r w:rsidR="002425AC">
        <w:t xml:space="preserve">Pozostałe wyjaśnienia </w:t>
      </w:r>
      <w:r w:rsidR="009D4763">
        <w:t>znajdują się</w:t>
      </w:r>
      <w:r w:rsidR="002425AC">
        <w:t xml:space="preserve"> w rozwiązaniu kazusu.</w:t>
      </w:r>
    </w:p>
    <w:p w:rsidR="00DE100F" w:rsidRDefault="00DE100F" w:rsidP="00DE100F">
      <w:pPr>
        <w:pStyle w:val="Akapitzlist"/>
      </w:pPr>
    </w:p>
    <w:p w:rsidR="00747203" w:rsidRPr="009D784B" w:rsidRDefault="00747203" w:rsidP="00F473D5">
      <w:pPr>
        <w:rPr>
          <w:b/>
        </w:rPr>
      </w:pPr>
      <w:r w:rsidRPr="009D784B">
        <w:rPr>
          <w:b/>
        </w:rPr>
        <w:t>Kazus nr 3</w:t>
      </w:r>
    </w:p>
    <w:p w:rsidR="000A7709" w:rsidRDefault="000A7709" w:rsidP="000A7709"/>
    <w:p w:rsidR="00747203" w:rsidRDefault="00DA7730" w:rsidP="000A7709">
      <w:r>
        <w:t xml:space="preserve">Uzasadnienie dziedziczenia </w:t>
      </w:r>
      <w:r w:rsidRPr="000A7709">
        <w:rPr>
          <w:i/>
        </w:rPr>
        <w:t>nasciturusa</w:t>
      </w:r>
      <w:r>
        <w:t xml:space="preserve"> wyłącznie </w:t>
      </w:r>
      <w:r w:rsidR="00551E82">
        <w:t xml:space="preserve">z </w:t>
      </w:r>
      <w:r>
        <w:t xml:space="preserve">odniesieniem do prawa rzymskiego, bez wskazania </w:t>
      </w:r>
      <w:r w:rsidR="00046991">
        <w:t xml:space="preserve">i analizy </w:t>
      </w:r>
      <w:r>
        <w:t>aktualnie obowiązujących przepisów</w:t>
      </w:r>
      <w:r w:rsidR="00551E82">
        <w:t>, w danym przypadku</w:t>
      </w:r>
      <w:r>
        <w:t xml:space="preserve"> art. 927 </w:t>
      </w:r>
      <m:oMath>
        <m:r>
          <w:rPr>
            <w:rFonts w:ascii="Cambria Math" w:hAnsi="Cambria Math"/>
          </w:rPr>
          <m:t>§</m:t>
        </m:r>
      </m:oMath>
      <w:r w:rsidRPr="000A7709">
        <w:rPr>
          <w:rFonts w:eastAsiaTheme="minorEastAsia"/>
        </w:rPr>
        <w:t xml:space="preserve"> 2 k.c.</w:t>
      </w:r>
    </w:p>
    <w:p w:rsidR="00DA7730" w:rsidRDefault="00DA7730" w:rsidP="009D784B">
      <w:pPr>
        <w:jc w:val="center"/>
        <w:rPr>
          <w:b/>
        </w:rPr>
      </w:pPr>
    </w:p>
    <w:p w:rsidR="009D784B" w:rsidRDefault="00DA7730" w:rsidP="009D784B">
      <w:pPr>
        <w:jc w:val="center"/>
        <w:rPr>
          <w:b/>
        </w:rPr>
      </w:pPr>
      <w:r w:rsidRPr="009D784B">
        <w:rPr>
          <w:b/>
        </w:rPr>
        <w:t>WSKAZÓWK</w:t>
      </w:r>
      <w:r w:rsidR="006976A6">
        <w:rPr>
          <w:b/>
        </w:rPr>
        <w:t>I</w:t>
      </w:r>
    </w:p>
    <w:p w:rsidR="00DA7730" w:rsidRDefault="00DA7730" w:rsidP="009D784B">
      <w:pPr>
        <w:jc w:val="center"/>
        <w:rPr>
          <w:b/>
        </w:rPr>
      </w:pPr>
    </w:p>
    <w:p w:rsidR="009D784B" w:rsidRDefault="009D784B" w:rsidP="00CA3785">
      <w:pPr>
        <w:pStyle w:val="Akapitzlist"/>
        <w:numPr>
          <w:ilvl w:val="0"/>
          <w:numId w:val="12"/>
        </w:numPr>
      </w:pPr>
      <w:r w:rsidRPr="009D784B">
        <w:t xml:space="preserve">Jeżeli w uzasadnieniu odpowiedzi stwierdza się, że nie występują </w:t>
      </w:r>
      <w:r w:rsidR="00551E82">
        <w:t xml:space="preserve">albo występują jakieś </w:t>
      </w:r>
      <w:r w:rsidRPr="009D784B">
        <w:t>przesłanki np. ubezwłasnowolnienia, należy wymienić jakie to są przesłanki, nazwać je</w:t>
      </w:r>
      <w:r w:rsidR="00551E82">
        <w:t xml:space="preserve"> i podać przepis prawny, jeżeli są zawarte w jego treści.</w:t>
      </w:r>
    </w:p>
    <w:p w:rsidR="00CA3785" w:rsidRDefault="00AA787F" w:rsidP="00CA3785">
      <w:pPr>
        <w:pStyle w:val="Akapitzlist"/>
        <w:numPr>
          <w:ilvl w:val="0"/>
          <w:numId w:val="12"/>
        </w:numPr>
      </w:pPr>
      <w:r>
        <w:t>W</w:t>
      </w:r>
      <w:r w:rsidR="00CA3785">
        <w:t xml:space="preserve"> rozwiązaniu kazusu należy podawać podstawę prawną (art.) i dodawać uzasadnienie odpowiedzi (nie można odpowiedzieć tylko tak lub nie, chyba że prowadzący wyraźnie powiedział, że w konkretnym przypadku tylko takiej odpowiedzi oczekuje).</w:t>
      </w:r>
      <w:r>
        <w:t xml:space="preserve"> </w:t>
      </w:r>
    </w:p>
    <w:p w:rsidR="00AA787F" w:rsidRDefault="00AA787F" w:rsidP="00CA3785">
      <w:pPr>
        <w:pStyle w:val="Akapitzlist"/>
        <w:numPr>
          <w:ilvl w:val="0"/>
          <w:numId w:val="12"/>
        </w:numPr>
      </w:pPr>
      <w:r>
        <w:t>Odpowiedzi i ich uzasadnienie powinny być czytelne, konkretne – takie, żeby dało się zrozumieć stanowisko osoby rozwiązującej kazus.</w:t>
      </w:r>
      <w:bookmarkStart w:id="0" w:name="_GoBack"/>
      <w:bookmarkEnd w:id="0"/>
    </w:p>
    <w:p w:rsidR="00AB24FF" w:rsidRDefault="00AB24FF" w:rsidP="00AB24FF">
      <w:pPr>
        <w:pStyle w:val="Akapitzlist"/>
      </w:pPr>
    </w:p>
    <w:p w:rsidR="009D784B" w:rsidRPr="009D784B" w:rsidRDefault="009D784B" w:rsidP="00AB24FF">
      <w:pPr>
        <w:pStyle w:val="Akapitzlist"/>
      </w:pPr>
    </w:p>
    <w:sectPr w:rsidR="009D784B" w:rsidRPr="009D784B" w:rsidSect="0032331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C56" w:rsidRDefault="00A64C56" w:rsidP="00823F62">
      <w:pPr>
        <w:spacing w:line="240" w:lineRule="auto"/>
      </w:pPr>
      <w:r>
        <w:separator/>
      </w:r>
    </w:p>
  </w:endnote>
  <w:endnote w:type="continuationSeparator" w:id="0">
    <w:p w:rsidR="00A64C56" w:rsidRDefault="00A64C56" w:rsidP="00823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C56" w:rsidRDefault="00A64C56" w:rsidP="00823F62">
      <w:pPr>
        <w:spacing w:line="240" w:lineRule="auto"/>
      </w:pPr>
      <w:r>
        <w:separator/>
      </w:r>
    </w:p>
  </w:footnote>
  <w:footnote w:type="continuationSeparator" w:id="0">
    <w:p w:rsidR="00A64C56" w:rsidRDefault="00A64C56" w:rsidP="00823F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0B8C"/>
    <w:multiLevelType w:val="hybridMultilevel"/>
    <w:tmpl w:val="8E6E8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11ABB"/>
    <w:multiLevelType w:val="hybridMultilevel"/>
    <w:tmpl w:val="06D21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4B89"/>
    <w:multiLevelType w:val="hybridMultilevel"/>
    <w:tmpl w:val="0888B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54AE"/>
    <w:multiLevelType w:val="hybridMultilevel"/>
    <w:tmpl w:val="762E5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0CAC"/>
    <w:multiLevelType w:val="hybridMultilevel"/>
    <w:tmpl w:val="7470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33F5"/>
    <w:multiLevelType w:val="hybridMultilevel"/>
    <w:tmpl w:val="0A385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0A64"/>
    <w:multiLevelType w:val="hybridMultilevel"/>
    <w:tmpl w:val="F202D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32B55"/>
    <w:multiLevelType w:val="hybridMultilevel"/>
    <w:tmpl w:val="FEC09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53F62"/>
    <w:multiLevelType w:val="hybridMultilevel"/>
    <w:tmpl w:val="07324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257C6"/>
    <w:multiLevelType w:val="hybridMultilevel"/>
    <w:tmpl w:val="D4E60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6484F"/>
    <w:multiLevelType w:val="hybridMultilevel"/>
    <w:tmpl w:val="D4E60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D6828"/>
    <w:multiLevelType w:val="hybridMultilevel"/>
    <w:tmpl w:val="D026D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D6"/>
    <w:rsid w:val="00025341"/>
    <w:rsid w:val="00046991"/>
    <w:rsid w:val="00052F4F"/>
    <w:rsid w:val="00065246"/>
    <w:rsid w:val="0008146D"/>
    <w:rsid w:val="00091F87"/>
    <w:rsid w:val="00093E10"/>
    <w:rsid w:val="000A52EB"/>
    <w:rsid w:val="000A7709"/>
    <w:rsid w:val="00121887"/>
    <w:rsid w:val="001271B1"/>
    <w:rsid w:val="001416A0"/>
    <w:rsid w:val="00162BBC"/>
    <w:rsid w:val="00177D83"/>
    <w:rsid w:val="001D17E3"/>
    <w:rsid w:val="001D7A9B"/>
    <w:rsid w:val="001E22ED"/>
    <w:rsid w:val="0023731A"/>
    <w:rsid w:val="002425AC"/>
    <w:rsid w:val="00275DA3"/>
    <w:rsid w:val="0029371F"/>
    <w:rsid w:val="00295F18"/>
    <w:rsid w:val="00310C33"/>
    <w:rsid w:val="0032331F"/>
    <w:rsid w:val="003459FC"/>
    <w:rsid w:val="003618A1"/>
    <w:rsid w:val="003874A5"/>
    <w:rsid w:val="00387A38"/>
    <w:rsid w:val="003A181F"/>
    <w:rsid w:val="003E3487"/>
    <w:rsid w:val="00404074"/>
    <w:rsid w:val="00412C86"/>
    <w:rsid w:val="004416B3"/>
    <w:rsid w:val="0045366E"/>
    <w:rsid w:val="004752AB"/>
    <w:rsid w:val="004768D0"/>
    <w:rsid w:val="004B5187"/>
    <w:rsid w:val="004E15B6"/>
    <w:rsid w:val="004E431A"/>
    <w:rsid w:val="00551E82"/>
    <w:rsid w:val="00560824"/>
    <w:rsid w:val="00571BA6"/>
    <w:rsid w:val="005D1CBA"/>
    <w:rsid w:val="005F42AD"/>
    <w:rsid w:val="006311BE"/>
    <w:rsid w:val="006459F9"/>
    <w:rsid w:val="006976A6"/>
    <w:rsid w:val="006B6757"/>
    <w:rsid w:val="007031CC"/>
    <w:rsid w:val="00747203"/>
    <w:rsid w:val="007B5E06"/>
    <w:rsid w:val="007C6645"/>
    <w:rsid w:val="007D0E7B"/>
    <w:rsid w:val="007E1E2D"/>
    <w:rsid w:val="007E647F"/>
    <w:rsid w:val="00814495"/>
    <w:rsid w:val="00823F62"/>
    <w:rsid w:val="008359A2"/>
    <w:rsid w:val="00841316"/>
    <w:rsid w:val="008640BB"/>
    <w:rsid w:val="00887AA4"/>
    <w:rsid w:val="008D6F73"/>
    <w:rsid w:val="008F18D0"/>
    <w:rsid w:val="0090794E"/>
    <w:rsid w:val="00914C91"/>
    <w:rsid w:val="009318EC"/>
    <w:rsid w:val="009851AB"/>
    <w:rsid w:val="00985610"/>
    <w:rsid w:val="00996AD6"/>
    <w:rsid w:val="009A0320"/>
    <w:rsid w:val="009A3295"/>
    <w:rsid w:val="009A73E3"/>
    <w:rsid w:val="009B57D6"/>
    <w:rsid w:val="009D4763"/>
    <w:rsid w:val="009D784B"/>
    <w:rsid w:val="00A3675A"/>
    <w:rsid w:val="00A540BC"/>
    <w:rsid w:val="00A64C56"/>
    <w:rsid w:val="00AA787F"/>
    <w:rsid w:val="00AB24FF"/>
    <w:rsid w:val="00AB3690"/>
    <w:rsid w:val="00AF2E1D"/>
    <w:rsid w:val="00BD0DDC"/>
    <w:rsid w:val="00BE52D0"/>
    <w:rsid w:val="00BF6ED5"/>
    <w:rsid w:val="00C21915"/>
    <w:rsid w:val="00C256B9"/>
    <w:rsid w:val="00C47986"/>
    <w:rsid w:val="00C6534D"/>
    <w:rsid w:val="00C7636C"/>
    <w:rsid w:val="00C76CEC"/>
    <w:rsid w:val="00CA3785"/>
    <w:rsid w:val="00CD12CF"/>
    <w:rsid w:val="00D00E0E"/>
    <w:rsid w:val="00D22168"/>
    <w:rsid w:val="00D324D2"/>
    <w:rsid w:val="00D84495"/>
    <w:rsid w:val="00D85FCB"/>
    <w:rsid w:val="00D9745B"/>
    <w:rsid w:val="00DA7730"/>
    <w:rsid w:val="00DB50DA"/>
    <w:rsid w:val="00DC2B21"/>
    <w:rsid w:val="00DC31E6"/>
    <w:rsid w:val="00DE100F"/>
    <w:rsid w:val="00E115D9"/>
    <w:rsid w:val="00E34CAC"/>
    <w:rsid w:val="00E5433B"/>
    <w:rsid w:val="00E640A5"/>
    <w:rsid w:val="00E64D4D"/>
    <w:rsid w:val="00E71861"/>
    <w:rsid w:val="00E9759A"/>
    <w:rsid w:val="00EA12E7"/>
    <w:rsid w:val="00EB5FEB"/>
    <w:rsid w:val="00EC087D"/>
    <w:rsid w:val="00F45902"/>
    <w:rsid w:val="00F473D5"/>
    <w:rsid w:val="00F51F79"/>
    <w:rsid w:val="00F653FF"/>
    <w:rsid w:val="00F93413"/>
    <w:rsid w:val="00FF26D8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E035E-C8BC-4ACD-9440-6A23B40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8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F62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F62"/>
  </w:style>
  <w:style w:type="character" w:styleId="Odwoanieprzypisukocowego">
    <w:name w:val="endnote reference"/>
    <w:basedOn w:val="Domylnaczcionkaakapitu"/>
    <w:uiPriority w:val="99"/>
    <w:semiHidden/>
    <w:unhideWhenUsed/>
    <w:rsid w:val="00823F6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C0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A77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1753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Wenusi Kr</dc:creator>
  <cp:keywords/>
  <dc:description/>
  <cp:lastModifiedBy>Wenusi Kr</cp:lastModifiedBy>
  <cp:revision>43</cp:revision>
  <dcterms:created xsi:type="dcterms:W3CDTF">2020-04-19T13:24:00Z</dcterms:created>
  <dcterms:modified xsi:type="dcterms:W3CDTF">2020-05-05T17:14:00Z</dcterms:modified>
</cp:coreProperties>
</file>