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AF0" w:rsidRDefault="00852AF0" w:rsidP="0037245C">
      <w:pPr>
        <w:rPr>
          <w:b/>
        </w:rPr>
      </w:pPr>
    </w:p>
    <w:p w:rsidR="00852AF0" w:rsidRPr="00852AF0" w:rsidRDefault="00852AF0" w:rsidP="00852AF0">
      <w:pPr>
        <w:jc w:val="center"/>
        <w:rPr>
          <w:b/>
          <w:sz w:val="24"/>
          <w:szCs w:val="24"/>
        </w:rPr>
      </w:pPr>
      <w:r w:rsidRPr="00852AF0">
        <w:rPr>
          <w:b/>
          <w:sz w:val="24"/>
          <w:szCs w:val="24"/>
        </w:rPr>
        <w:t>ROZWIĄZANIA KAZUSÓW WRAZ Z WYKAZEM NAJCZĘSTSZYCH BŁĘDÓW</w:t>
      </w:r>
    </w:p>
    <w:p w:rsidR="00852AF0" w:rsidRDefault="00852AF0" w:rsidP="00852AF0">
      <w:pPr>
        <w:jc w:val="center"/>
        <w:rPr>
          <w:b/>
        </w:rPr>
      </w:pPr>
    </w:p>
    <w:p w:rsidR="00852AF0" w:rsidRDefault="00852AF0" w:rsidP="0037245C">
      <w:pPr>
        <w:rPr>
          <w:b/>
        </w:rPr>
      </w:pPr>
    </w:p>
    <w:p w:rsidR="00852AF0" w:rsidRDefault="00852AF0" w:rsidP="0037245C">
      <w:pPr>
        <w:rPr>
          <w:b/>
        </w:rPr>
      </w:pPr>
    </w:p>
    <w:p w:rsidR="0037245C" w:rsidRPr="0037245C" w:rsidRDefault="008E5D27" w:rsidP="0037245C">
      <w:pPr>
        <w:rPr>
          <w:b/>
        </w:rPr>
      </w:pPr>
      <w:r w:rsidRPr="008E5D27">
        <w:rPr>
          <w:b/>
        </w:rPr>
        <w:t>Kazus nr 1</w:t>
      </w:r>
      <w:r w:rsidR="0037245C">
        <w:rPr>
          <w:b/>
        </w:rPr>
        <w:t xml:space="preserve"> </w:t>
      </w:r>
      <w:r w:rsidR="0037245C" w:rsidRPr="0037245C">
        <w:rPr>
          <w:b/>
        </w:rPr>
        <w:t xml:space="preserve">(B. Jelonek-Jarco, J. Zawadzka, F. Zoll (red.), </w:t>
      </w:r>
      <w:r w:rsidR="0037245C" w:rsidRPr="0037245C">
        <w:rPr>
          <w:b/>
          <w:i/>
        </w:rPr>
        <w:t>Prawo cywilne. Kazusy z rozwiązaniami,</w:t>
      </w:r>
      <w:r w:rsidR="0037245C" w:rsidRPr="0037245C">
        <w:rPr>
          <w:b/>
        </w:rPr>
        <w:t xml:space="preserve"> Wydanie 2, Warszawa 2019)</w:t>
      </w:r>
      <w:r w:rsidR="0037245C">
        <w:rPr>
          <w:b/>
        </w:rPr>
        <w:t xml:space="preserve"> </w:t>
      </w:r>
      <w:r w:rsidR="00660250">
        <w:rPr>
          <w:b/>
        </w:rPr>
        <w:t>zmodyfikowany</w:t>
      </w:r>
    </w:p>
    <w:p w:rsidR="008E5D27" w:rsidRPr="008E5D27" w:rsidRDefault="008E5D27" w:rsidP="008E5D27"/>
    <w:p w:rsidR="008E5D27" w:rsidRPr="008E5D27" w:rsidRDefault="008E5D27" w:rsidP="008E5D27">
      <w:r w:rsidRPr="009925AD">
        <w:rPr>
          <w:highlight w:val="green"/>
        </w:rPr>
        <w:t>Tymoteusz N. zawarł z Radosławem M.</w:t>
      </w:r>
      <w:r w:rsidRPr="008E5D27">
        <w:t xml:space="preserve"> na piśmie </w:t>
      </w:r>
      <w:r w:rsidRPr="009925AD">
        <w:rPr>
          <w:highlight w:val="green"/>
        </w:rPr>
        <w:t>umowę sprzedaży zbudowanego przez siebie mobilnego pawilonu handlowego</w:t>
      </w:r>
      <w:r w:rsidRPr="008E5D27">
        <w:t xml:space="preserve"> usytuowanego na nieruchomości dzierżawionej od miasta Lublin. Ponadto Radosław M. powiedział, że zamierza korzystać z przedmiotowego pawilonu we Wrocławiu.</w:t>
      </w:r>
    </w:p>
    <w:p w:rsidR="008E5D27" w:rsidRPr="008E5D27" w:rsidRDefault="008E5D27" w:rsidP="008E5D27"/>
    <w:p w:rsidR="008E5D27" w:rsidRDefault="008E5D27" w:rsidP="008E5D27">
      <w:pPr>
        <w:rPr>
          <w:b/>
        </w:rPr>
      </w:pPr>
      <w:r w:rsidRPr="008E5D27">
        <w:rPr>
          <w:b/>
        </w:rPr>
        <w:t>Pytania:</w:t>
      </w:r>
    </w:p>
    <w:p w:rsidR="00852AF0" w:rsidRPr="008E5D27" w:rsidRDefault="00852AF0" w:rsidP="008E5D27">
      <w:pPr>
        <w:rPr>
          <w:b/>
        </w:rPr>
      </w:pPr>
    </w:p>
    <w:p w:rsidR="004C11D2" w:rsidRDefault="00E65150" w:rsidP="008E5D27">
      <w:r w:rsidRPr="008E5D27">
        <w:t>Czy umowa jest ważna?</w:t>
      </w:r>
    </w:p>
    <w:p w:rsidR="00852AF0" w:rsidRDefault="00852AF0" w:rsidP="008E5D27"/>
    <w:p w:rsidR="008E5D27" w:rsidRDefault="008E5D27" w:rsidP="008E5D27">
      <w:pPr>
        <w:rPr>
          <w:b/>
        </w:rPr>
      </w:pPr>
      <w:r w:rsidRPr="00430132">
        <w:rPr>
          <w:b/>
        </w:rPr>
        <w:t>Odpowiedź</w:t>
      </w:r>
      <w:r w:rsidR="00430132">
        <w:rPr>
          <w:b/>
        </w:rPr>
        <w:t>:</w:t>
      </w:r>
    </w:p>
    <w:p w:rsidR="00852AF0" w:rsidRPr="00430132" w:rsidRDefault="00852AF0" w:rsidP="008E5D27">
      <w:pPr>
        <w:rPr>
          <w:b/>
        </w:rPr>
      </w:pPr>
    </w:p>
    <w:p w:rsidR="00430132" w:rsidRPr="009925AD" w:rsidRDefault="00430132" w:rsidP="008E5D27">
      <w:pPr>
        <w:rPr>
          <w:b/>
        </w:rPr>
      </w:pPr>
      <w:r w:rsidRPr="009925AD">
        <w:rPr>
          <w:b/>
        </w:rPr>
        <w:t xml:space="preserve">Tak.  </w:t>
      </w:r>
    </w:p>
    <w:p w:rsidR="008E5D27" w:rsidRDefault="00300415" w:rsidP="008E5D27">
      <w:r>
        <w:t>Ze względu na treść</w:t>
      </w:r>
      <w:r w:rsidR="00430132">
        <w:t xml:space="preserve"> art. 48 k.c. p</w:t>
      </w:r>
      <w:r w:rsidR="008E5D27">
        <w:t xml:space="preserve">awilon </w:t>
      </w:r>
      <w:r w:rsidR="00430132">
        <w:t xml:space="preserve">mobilny </w:t>
      </w:r>
      <w:r w:rsidR="008E5D27">
        <w:t xml:space="preserve">nie stanowi części składowej </w:t>
      </w:r>
      <w:r w:rsidR="00430132">
        <w:t>nieruchomości dzierżawionej przez Tymoteusza N.</w:t>
      </w:r>
      <w:r w:rsidR="008E5D27">
        <w:t>, gdyż nie jes</w:t>
      </w:r>
      <w:r w:rsidR="00430132">
        <w:t xml:space="preserve">t trwale </w:t>
      </w:r>
      <w:r w:rsidR="008E5D27">
        <w:t>związany</w:t>
      </w:r>
      <w:r w:rsidR="00430132" w:rsidRPr="00430132">
        <w:t xml:space="preserve"> </w:t>
      </w:r>
      <w:r w:rsidR="00430132">
        <w:t>z gruntem</w:t>
      </w:r>
      <w:r w:rsidR="008E5D27">
        <w:t>.</w:t>
      </w:r>
      <w:r w:rsidR="00430132">
        <w:t xml:space="preserve"> </w:t>
      </w:r>
      <w:r>
        <w:t>Natomiast</w:t>
      </w:r>
      <w:r w:rsidRPr="00300415">
        <w:t xml:space="preserve"> bez wątpienia </w:t>
      </w:r>
      <w:r>
        <w:t xml:space="preserve">przedmiotowy pawilon </w:t>
      </w:r>
      <w:r w:rsidRPr="00300415">
        <w:t xml:space="preserve">jest rzeczą (zarówno zgodnie z definicją legalną rzeczy zawartą w art. 45 k.c. – stanowi przedmiot materialny, jak i zgodnie z definicją wypracowaną przez doktrynę, a mianowicie: jest to materialna część przyrody, wyodrębniona w sposób sztuczny, mogąca stanowić samodzielny przedmiot obrotu). </w:t>
      </w:r>
      <w:r w:rsidR="00430132">
        <w:t xml:space="preserve">Nie może być </w:t>
      </w:r>
      <w:r>
        <w:t>jednak</w:t>
      </w:r>
      <w:r w:rsidR="00430132">
        <w:t xml:space="preserve"> uznany za nieruchomość. A to dlatego, że nieruchomościami są części powierzchni ziemskiej stanowiące odrębny przedmiot własności albo budynki trwale z gruntem związane (lub części takich budynków) pod warunkiem, że na mocy przepisów szczególnych stanowią odrębny od gruntu przedmiot własności (art. 46 k.c.). A w danym przypadku warunki zawarte w cyt. przypisie nie zostały spełnione. </w:t>
      </w:r>
      <w:r>
        <w:t xml:space="preserve">Wobec powyższego należy uznać, że mobilny pawilon jest rzeczą ruchomą należącą do Tymoteusza N. Zatem uprawniony on był do rozporządzenia swoją rzeczą. </w:t>
      </w:r>
      <w:r w:rsidR="005B7B37">
        <w:t xml:space="preserve">Inaczej niż w przypadku </w:t>
      </w:r>
      <w:r w:rsidR="009925AD">
        <w:t xml:space="preserve"> nieruchomości (zob. art. 158 k.c.), do zawarcia umowy zobowiązującej do przeniesienia własności rzeczy ruchomej (oraz umowy rozporządzającej) przepisy prawne nie przewidują szczególnych wymagań co do formy. Takiego obowiązku nie nakłada także art. 535 i n. k.c. dotyczący zawarcia umowy sprzedaży. Dlatego w stanie faktycznym podanym w kazusie u</w:t>
      </w:r>
      <w:r w:rsidR="008E5D27">
        <w:t>mowa</w:t>
      </w:r>
      <w:r w:rsidR="009925AD">
        <w:t xml:space="preserve"> zawarta przez Tymoteusza N. i Radosława M.</w:t>
      </w:r>
      <w:r w:rsidR="008E5D27">
        <w:t xml:space="preserve"> jest ważna.</w:t>
      </w:r>
    </w:p>
    <w:p w:rsidR="00852AF0" w:rsidRDefault="00852AF0" w:rsidP="008E5D27"/>
    <w:p w:rsidR="00852AF0" w:rsidRPr="008E5D27" w:rsidRDefault="00852AF0" w:rsidP="008E5D27"/>
    <w:p w:rsidR="008E5D27" w:rsidRPr="008E5D27" w:rsidRDefault="008E5D27" w:rsidP="008E5D27"/>
    <w:p w:rsidR="008E5D27" w:rsidRDefault="008E5D27" w:rsidP="008E5D27">
      <w:pPr>
        <w:rPr>
          <w:b/>
        </w:rPr>
      </w:pPr>
      <w:r w:rsidRPr="008E5D27">
        <w:rPr>
          <w:b/>
        </w:rPr>
        <w:t xml:space="preserve">Kazus nr 2 </w:t>
      </w:r>
    </w:p>
    <w:p w:rsidR="00852AF0" w:rsidRPr="008E5D27" w:rsidRDefault="00852AF0" w:rsidP="008E5D27">
      <w:pPr>
        <w:rPr>
          <w:b/>
        </w:rPr>
      </w:pPr>
    </w:p>
    <w:p w:rsidR="008E5D27" w:rsidRPr="008E5D27" w:rsidRDefault="008E5D27" w:rsidP="008E5D27">
      <w:pPr>
        <w:rPr>
          <w:b/>
          <w:bCs/>
        </w:rPr>
      </w:pPr>
      <w:r w:rsidRPr="00805DF9">
        <w:rPr>
          <w:highlight w:val="green"/>
        </w:rPr>
        <w:t xml:space="preserve">Na podstawie umowy sprzedaży z dnia 20 lutego 2020 r. Jarosław W. nabył klawiaturę </w:t>
      </w:r>
      <w:r w:rsidRPr="00805DF9">
        <w:rPr>
          <w:bCs/>
          <w:highlight w:val="green"/>
        </w:rPr>
        <w:t>Genesis Rhod 410</w:t>
      </w:r>
      <w:r w:rsidRPr="008E5D27">
        <w:rPr>
          <w:bCs/>
        </w:rPr>
        <w:t xml:space="preserve"> w bardzo korzystnej cenie. </w:t>
      </w:r>
      <w:r w:rsidRPr="00805DF9">
        <w:rPr>
          <w:bCs/>
          <w:highlight w:val="green"/>
        </w:rPr>
        <w:t>Po wydaniu towaru okazało się, że brakuje klawisza „Enter”. Sprzedawca uznał reklamację za bezzasadną. Swoją decyzję motywował tym, że brakujący klawisz stanowi jedynie przynależność klawiatury a, zawierając umowę sprzedaży, sprzedawca zobowiązał się jedynie do przeniesienia własności i wydania klawiatury. Zaznaczył, że nie składał oświadczenia woli w przedmiocie sprzedaży klawiszu „Enter”. Zdaniem sprzedawcy, zgodnie z przepisami kodeksu cywilnego sprzedaż rzeczy głównej odnosi skutek także względem przynależności tylko wtedy, gdy strony umowy sprzedaży wyraźnie i zgodnie tak postanowią.</w:t>
      </w:r>
    </w:p>
    <w:p w:rsidR="008E5D27" w:rsidRPr="008E5D27" w:rsidRDefault="008E5D27" w:rsidP="008E5D27"/>
    <w:p w:rsidR="008E5D27" w:rsidRPr="008E5D27" w:rsidRDefault="008E5D27" w:rsidP="008E5D27"/>
    <w:p w:rsidR="008E5D27" w:rsidRDefault="008E5D27" w:rsidP="008E5D27">
      <w:pPr>
        <w:rPr>
          <w:b/>
        </w:rPr>
      </w:pPr>
      <w:r w:rsidRPr="008E5D27">
        <w:rPr>
          <w:b/>
        </w:rPr>
        <w:t>Pytanie:</w:t>
      </w:r>
    </w:p>
    <w:p w:rsidR="00852AF0" w:rsidRPr="008E5D27" w:rsidRDefault="00852AF0" w:rsidP="008E5D27">
      <w:pPr>
        <w:rPr>
          <w:b/>
        </w:rPr>
      </w:pPr>
    </w:p>
    <w:p w:rsidR="008E5D27" w:rsidRPr="008E5D27" w:rsidRDefault="008E5D27" w:rsidP="008E5D27">
      <w:r w:rsidRPr="008E5D27">
        <w:t>Oceń argumentację sprzedawcy.</w:t>
      </w:r>
    </w:p>
    <w:p w:rsidR="008E5D27" w:rsidRDefault="008E5D27" w:rsidP="008E5D27"/>
    <w:p w:rsidR="00660250" w:rsidRDefault="0035304E" w:rsidP="008E5D27">
      <w:pPr>
        <w:rPr>
          <w:b/>
        </w:rPr>
      </w:pPr>
      <w:r w:rsidRPr="0035304E">
        <w:rPr>
          <w:b/>
        </w:rPr>
        <w:t>Odpowiedź:</w:t>
      </w:r>
      <w:r w:rsidR="008E5D27" w:rsidRPr="0035304E">
        <w:rPr>
          <w:b/>
        </w:rPr>
        <w:t xml:space="preserve"> </w:t>
      </w:r>
    </w:p>
    <w:p w:rsidR="00852AF0" w:rsidRPr="0035304E" w:rsidRDefault="00852AF0" w:rsidP="008E5D27">
      <w:pPr>
        <w:rPr>
          <w:b/>
        </w:rPr>
      </w:pPr>
    </w:p>
    <w:p w:rsidR="00AE09D3" w:rsidRDefault="0035304E" w:rsidP="008E5D27">
      <w:pPr>
        <w:rPr>
          <w:b/>
        </w:rPr>
      </w:pPr>
      <w:r w:rsidRPr="00AE09D3">
        <w:rPr>
          <w:b/>
        </w:rPr>
        <w:t xml:space="preserve">Argumentacja sprzedawcy w przedstawionym stanie faktycznym jest zupełnie nietrafna. </w:t>
      </w:r>
    </w:p>
    <w:p w:rsidR="008E5D27" w:rsidRDefault="0035304E" w:rsidP="008E5D27">
      <w:r>
        <w:t xml:space="preserve">Przede wszystkim należy podkreślić, </w:t>
      </w:r>
      <w:r w:rsidR="005B7B37">
        <w:t xml:space="preserve">że </w:t>
      </w:r>
      <w:r>
        <w:t xml:space="preserve">zgodnie z treścią </w:t>
      </w:r>
      <w:r w:rsidR="008E5D27">
        <w:t>art. 52 k.c</w:t>
      </w:r>
      <w:r>
        <w:t xml:space="preserve">. czynność prawna (w tym przypadku umowa sprzedaży) mająca za przedmiot rzecz główną odnosi skutek także względem przynależności. Zatem nie jest wymagane w tym celu złożenie wyraźnych i zgodnych oświadczeń woli przez strony umowy. Przeciwnie, gdyby strony chciały postanowić inaczej i wyłączyć przynależność z zakresu dokonywanych rozrządzeń powinno to wynikać z treści czynności prawnej (podobny skutek mogą przewidywać także przepisy szczególne). Tak stanowi art. 52 </w:t>
      </w:r>
      <w:r w:rsidRPr="0035304E">
        <w:rPr>
          <w:i/>
        </w:rPr>
        <w:t>in fine</w:t>
      </w:r>
      <w:r>
        <w:t xml:space="preserve"> k.c. </w:t>
      </w:r>
      <w:r w:rsidR="008E5D27">
        <w:t xml:space="preserve"> </w:t>
      </w:r>
      <w:r>
        <w:t xml:space="preserve">Jednakże w omawianym przypadku klawisz „Enter” nie stanowi przynależności, o której mowa w art. 51 k.c. A to dlatego, że jest częścią składową rzeczy – klawiatury. Wynika to z art. 47 § 2 k.c. Częścią składową rzeczy jest wszystko, co nie </w:t>
      </w:r>
      <w:r w:rsidR="000B267D">
        <w:t>m</w:t>
      </w:r>
      <w:r>
        <w:t xml:space="preserve">oże być od niej odłączone bez uszkodzenia lub istotnej zmiany całości albo bez uszkodzenia lub istotnej zmiany przedmiotu odłączonego. </w:t>
      </w:r>
      <w:r w:rsidR="000B267D">
        <w:t xml:space="preserve">Zaś odłączenie klawisza „Enter” powoduje uszkodzenie klawiatury (a także jej istotną zmianę skutkującą brakiem możliwości korzystania z klawiatury zgodnie z jej przeznaczeniem). Jak wynika z art. 47 § 1 k.c. część składowa rzeczy nie może być odrębnym przedmiotem własności, tzn. musi mieć tego samego właściciela. Klawiatura jest rzeczą, na którą składa się wiele części składowych, w tym sporny przycisk. W kazusie brak informacji o tym, że przedmiotem sprzedaży miała być rzecz uszkodzona </w:t>
      </w:r>
      <w:r w:rsidR="005B7B37">
        <w:t xml:space="preserve">(czy </w:t>
      </w:r>
      <w:r w:rsidR="000B267D">
        <w:t>niekompletna</w:t>
      </w:r>
      <w:r w:rsidR="005B7B37">
        <w:t>).</w:t>
      </w:r>
      <w:r w:rsidR="000B267D">
        <w:t xml:space="preserve"> A zatem klawiatura została sprzedana </w:t>
      </w:r>
      <w:r w:rsidR="005B7B37">
        <w:t>razem z klawiszem „Enter”</w:t>
      </w:r>
      <w:r w:rsidR="000B267D">
        <w:t>. W związku z powyższym a</w:t>
      </w:r>
      <w:r w:rsidR="008E5D27">
        <w:t xml:space="preserve">rgumentacja </w:t>
      </w:r>
      <w:r w:rsidR="007333D4">
        <w:t xml:space="preserve">sprzedawcy jest całkowicie </w:t>
      </w:r>
      <w:r w:rsidR="008E5D27">
        <w:t>błędna.</w:t>
      </w:r>
    </w:p>
    <w:p w:rsidR="008E5D27" w:rsidRDefault="008E5D27" w:rsidP="008E5D27"/>
    <w:p w:rsidR="00852AF0" w:rsidRDefault="00852AF0" w:rsidP="008E5D27"/>
    <w:p w:rsidR="00852AF0" w:rsidRDefault="00852AF0" w:rsidP="008E5D27"/>
    <w:p w:rsidR="00852AF0" w:rsidRPr="008E5D27" w:rsidRDefault="00852AF0" w:rsidP="008E5D27"/>
    <w:p w:rsidR="008E5D27" w:rsidRPr="008E5D27" w:rsidRDefault="008E5D27" w:rsidP="008E5D27">
      <w:pPr>
        <w:rPr>
          <w:b/>
        </w:rPr>
      </w:pPr>
      <w:r w:rsidRPr="008E5D27">
        <w:rPr>
          <w:b/>
        </w:rPr>
        <w:t>Kazus nr 3</w:t>
      </w:r>
    </w:p>
    <w:p w:rsidR="008E5D27" w:rsidRPr="008E5D27" w:rsidRDefault="008E5D27" w:rsidP="008E5D27">
      <w:pPr>
        <w:rPr>
          <w:b/>
        </w:rPr>
      </w:pPr>
    </w:p>
    <w:p w:rsidR="008E5D27" w:rsidRPr="008E5D27" w:rsidRDefault="008E5D27" w:rsidP="008E5D27">
      <w:r w:rsidRPr="00852AF0">
        <w:rPr>
          <w:highlight w:val="green"/>
        </w:rPr>
        <w:t>Anastazja D. (sprzedawca) i Janina G. (kupująca) zgodnie postanowiły zawrzeć umowę sprzedaży nieruchomości, należącej do Anastazji D., z zachowaniem zwykłej formy pisemnej</w:t>
      </w:r>
      <w:r w:rsidRPr="008E5D27">
        <w:t xml:space="preserve">. </w:t>
      </w:r>
    </w:p>
    <w:p w:rsidR="008E5D27" w:rsidRPr="008E5D27" w:rsidRDefault="008E5D27" w:rsidP="008E5D27"/>
    <w:p w:rsidR="008E5D27" w:rsidRDefault="008E5D27" w:rsidP="008E5D27">
      <w:pPr>
        <w:rPr>
          <w:b/>
        </w:rPr>
      </w:pPr>
      <w:r w:rsidRPr="008E5D27">
        <w:rPr>
          <w:b/>
        </w:rPr>
        <w:t>Pytanie:</w:t>
      </w:r>
    </w:p>
    <w:p w:rsidR="00852AF0" w:rsidRPr="008E5D27" w:rsidRDefault="00852AF0" w:rsidP="008E5D27">
      <w:pPr>
        <w:rPr>
          <w:b/>
        </w:rPr>
      </w:pPr>
    </w:p>
    <w:p w:rsidR="008E5D27" w:rsidRPr="008E5D27" w:rsidRDefault="008E5D27" w:rsidP="008E5D27">
      <w:r w:rsidRPr="008E5D27">
        <w:t>Czy umowa sprzedaży nieruchomości zawarta w takiej formie będzie ważna?</w:t>
      </w:r>
    </w:p>
    <w:p w:rsidR="00013FAA" w:rsidRPr="00AE09D3" w:rsidRDefault="00013FAA" w:rsidP="008E5D27">
      <w:pPr>
        <w:rPr>
          <w:b/>
        </w:rPr>
      </w:pPr>
    </w:p>
    <w:p w:rsidR="00AE09D3" w:rsidRDefault="00AE09D3" w:rsidP="008E5D27">
      <w:pPr>
        <w:rPr>
          <w:b/>
        </w:rPr>
      </w:pPr>
      <w:r w:rsidRPr="00AE09D3">
        <w:rPr>
          <w:b/>
        </w:rPr>
        <w:t>Odpowiedź:</w:t>
      </w:r>
    </w:p>
    <w:p w:rsidR="00852AF0" w:rsidRPr="00AE09D3" w:rsidRDefault="00852AF0" w:rsidP="008E5D27">
      <w:pPr>
        <w:rPr>
          <w:b/>
        </w:rPr>
      </w:pPr>
    </w:p>
    <w:p w:rsidR="00AE09D3" w:rsidRPr="00AE09D3" w:rsidRDefault="008E5D27" w:rsidP="008E5D27">
      <w:pPr>
        <w:rPr>
          <w:b/>
        </w:rPr>
      </w:pPr>
      <w:r w:rsidRPr="00AE09D3">
        <w:rPr>
          <w:b/>
        </w:rPr>
        <w:t xml:space="preserve">Nie, </w:t>
      </w:r>
      <w:r w:rsidR="00AE09D3" w:rsidRPr="00AE09D3">
        <w:rPr>
          <w:b/>
        </w:rPr>
        <w:t xml:space="preserve">umowa sprzedaży nieruchomości zawarta bez zachowania formy aktu notarialnego jest </w:t>
      </w:r>
      <w:r w:rsidR="00AE09D3">
        <w:rPr>
          <w:b/>
        </w:rPr>
        <w:t xml:space="preserve">bezwzględnie </w:t>
      </w:r>
      <w:r w:rsidR="00AE09D3" w:rsidRPr="00AE09D3">
        <w:rPr>
          <w:b/>
        </w:rPr>
        <w:t>nieważna.</w:t>
      </w:r>
    </w:p>
    <w:p w:rsidR="003962FC" w:rsidRDefault="003962FC" w:rsidP="008E5D27">
      <w:r>
        <w:t>Z</w:t>
      </w:r>
      <w:r w:rsidR="00AE09D3">
        <w:t xml:space="preserve">godnie z treścią </w:t>
      </w:r>
      <w:r>
        <w:t xml:space="preserve">przepisów </w:t>
      </w:r>
      <w:r w:rsidR="00AE09D3">
        <w:t>a</w:t>
      </w:r>
      <w:r w:rsidR="008E5D27">
        <w:t>rt. 158</w:t>
      </w:r>
      <w:r w:rsidR="004D240A">
        <w:t xml:space="preserve"> </w:t>
      </w:r>
      <w:r w:rsidR="008E5D27">
        <w:t xml:space="preserve">k.c. </w:t>
      </w:r>
      <w:r w:rsidR="004D240A">
        <w:t xml:space="preserve">zarówno </w:t>
      </w:r>
      <w:r w:rsidR="004D4D3C">
        <w:t>umowa zobowiązująca do przeniesienia w</w:t>
      </w:r>
      <w:r w:rsidR="004D240A">
        <w:t xml:space="preserve">łasności nieruchomości, jak i </w:t>
      </w:r>
      <w:r w:rsidR="004D4D3C">
        <w:t>umowa przenosząca własność</w:t>
      </w:r>
      <w:r w:rsidR="004D240A">
        <w:t xml:space="preserve">, która zostaje zawarta w celu wykonania istniejącego uprzednio zobowiązania do przeniesienia własności nieruchomości, </w:t>
      </w:r>
      <w:r w:rsidR="004D4D3C">
        <w:t>powinn</w:t>
      </w:r>
      <w:r w:rsidR="004D240A">
        <w:t>a</w:t>
      </w:r>
      <w:r w:rsidR="004D4D3C">
        <w:t xml:space="preserve"> być zawarta w formie aktu notarialnego. </w:t>
      </w:r>
      <w:r w:rsidR="004D240A">
        <w:t>Umowa sprzedaży</w:t>
      </w:r>
      <w:r>
        <w:t xml:space="preserve"> nieruchomości </w:t>
      </w:r>
      <w:r w:rsidRPr="003962FC">
        <w:t>(jako umowa zobowiązująca sprzedawcę do przeniesienia własności rzeczy na kupującego – art. 535 k.c.)</w:t>
      </w:r>
      <w:r>
        <w:t xml:space="preserve"> </w:t>
      </w:r>
      <w:r w:rsidR="004D240A">
        <w:t xml:space="preserve">należy do kategorii umów wymienionych w </w:t>
      </w:r>
      <w:r>
        <w:t xml:space="preserve">dyspozycji normy prawnej wyrażonej w </w:t>
      </w:r>
      <w:r w:rsidR="004D240A">
        <w:t xml:space="preserve">art. 158 zd. 1 k.c. </w:t>
      </w:r>
      <w:r>
        <w:t>(</w:t>
      </w:r>
      <w:r w:rsidR="00C81467">
        <w:t>a ze względu na treść</w:t>
      </w:r>
      <w:r>
        <w:t xml:space="preserve"> art. 155 § 1 k.c. umowa sprzedaży nieruchomości co do zasady jest umową o podwójnym skutku). </w:t>
      </w:r>
    </w:p>
    <w:p w:rsidR="00C87A40" w:rsidRDefault="00C81467" w:rsidP="008E5D27">
      <w:r>
        <w:lastRenderedPageBreak/>
        <w:t>Konsekwencje</w:t>
      </w:r>
      <w:r w:rsidR="004D4D3C">
        <w:t xml:space="preserve"> niedochowania wymaganej formy </w:t>
      </w:r>
      <w:r w:rsidR="004D240A">
        <w:t xml:space="preserve">dla </w:t>
      </w:r>
      <w:r w:rsidR="004D4D3C">
        <w:t xml:space="preserve">tej czynności prawnej określa </w:t>
      </w:r>
      <w:r w:rsidR="008E5D27">
        <w:t xml:space="preserve">art. 73 </w:t>
      </w:r>
      <w:r w:rsidR="004D4D3C">
        <w:t xml:space="preserve">§ 2 </w:t>
      </w:r>
      <w:r w:rsidR="004D240A">
        <w:t xml:space="preserve">zd. 1 </w:t>
      </w:r>
      <w:r w:rsidR="008E5D27">
        <w:t>k.c.</w:t>
      </w:r>
      <w:r w:rsidR="004D240A">
        <w:t xml:space="preserve"> </w:t>
      </w:r>
      <w:r>
        <w:t>Jeżeli umowa sprzedaży nieruchomości zostanie zawarta bez zachowania formy aktu notarialnego,</w:t>
      </w:r>
      <w:r w:rsidR="00402AEA">
        <w:t xml:space="preserve"> będzie ona nieważna. Przepisy </w:t>
      </w:r>
      <w:r w:rsidR="00402AEA" w:rsidRPr="00402AEA">
        <w:t xml:space="preserve">art. 158 </w:t>
      </w:r>
      <w:r w:rsidR="00402AEA">
        <w:t xml:space="preserve">i art. 73  </w:t>
      </w:r>
      <w:r w:rsidR="00402AEA" w:rsidRPr="00402AEA">
        <w:t>§ 2</w:t>
      </w:r>
      <w:r w:rsidR="00402AEA">
        <w:t xml:space="preserve"> zd. 1 k.c. mają charakter bezwzględnie obowiązujący, co oznacza, że normy prawne odtworzone z tych przepisów obowiązują bez względu na wolę stron. Dlatego nawet zgodne postanowienia Anastazji D. i Janiny G. co do zawarcia umowy sprzedaży nieruchomości w zwykłej formie pisemnej (w miejsce aktu notarialnego) nie mogły</w:t>
      </w:r>
      <w:r w:rsidR="00C87A40">
        <w:t>by</w:t>
      </w:r>
      <w:r w:rsidR="00402AEA">
        <w:t xml:space="preserve"> odnieść skutku. </w:t>
      </w:r>
    </w:p>
    <w:p w:rsidR="00C87A40" w:rsidRDefault="00402AEA" w:rsidP="008E5D27">
      <w:r>
        <w:t>Warto zauważyć, że z treści powołanych wyżej przepisów</w:t>
      </w:r>
      <w:r w:rsidR="00C87A40">
        <w:t xml:space="preserve"> nie wynika także, że w danym przypadku forma aktu notarialnego została zastrzeżona jedynie dla wywołania określonych skutków czynności prawnej, o których mowa w art. 73 § 2 zd. 2 k.c. A co za tym idzie, umowa zawarta bez zachowania wymaganej formy będzie </w:t>
      </w:r>
      <w:r w:rsidR="00C349AC">
        <w:t xml:space="preserve">w tym przypadku </w:t>
      </w:r>
      <w:r w:rsidR="00C87A40">
        <w:t>nieważna.</w:t>
      </w:r>
    </w:p>
    <w:p w:rsidR="0037245C" w:rsidRDefault="0037245C" w:rsidP="008E5D27"/>
    <w:p w:rsidR="00C81467" w:rsidRDefault="00C81467" w:rsidP="008E5D27"/>
    <w:p w:rsidR="00852AF0" w:rsidRDefault="00852AF0" w:rsidP="0037245C">
      <w:pPr>
        <w:jc w:val="center"/>
        <w:rPr>
          <w:b/>
        </w:rPr>
      </w:pPr>
    </w:p>
    <w:p w:rsidR="00852AF0" w:rsidRDefault="00852AF0" w:rsidP="0037245C">
      <w:pPr>
        <w:jc w:val="center"/>
        <w:rPr>
          <w:b/>
        </w:rPr>
      </w:pPr>
    </w:p>
    <w:p w:rsidR="00852AF0" w:rsidRDefault="00852AF0" w:rsidP="0037245C">
      <w:pPr>
        <w:jc w:val="center"/>
        <w:rPr>
          <w:b/>
        </w:rPr>
      </w:pPr>
    </w:p>
    <w:p w:rsidR="00852AF0" w:rsidRDefault="00852AF0" w:rsidP="0037245C">
      <w:pPr>
        <w:jc w:val="center"/>
        <w:rPr>
          <w:b/>
        </w:rPr>
      </w:pPr>
    </w:p>
    <w:p w:rsidR="00852AF0" w:rsidRDefault="00852AF0" w:rsidP="0037245C">
      <w:pPr>
        <w:jc w:val="center"/>
        <w:rPr>
          <w:b/>
        </w:rPr>
      </w:pPr>
    </w:p>
    <w:p w:rsidR="0037245C" w:rsidRDefault="00852AF0" w:rsidP="0037245C">
      <w:pPr>
        <w:jc w:val="center"/>
        <w:rPr>
          <w:b/>
        </w:rPr>
      </w:pPr>
      <w:r>
        <w:rPr>
          <w:b/>
        </w:rPr>
        <w:t xml:space="preserve">WYKAZ </w:t>
      </w:r>
      <w:r w:rsidR="00660250" w:rsidRPr="0037245C">
        <w:rPr>
          <w:b/>
        </w:rPr>
        <w:t>NAJCZĘSTSZ</w:t>
      </w:r>
      <w:r>
        <w:rPr>
          <w:b/>
        </w:rPr>
        <w:t xml:space="preserve">YCH </w:t>
      </w:r>
      <w:r w:rsidR="0037245C" w:rsidRPr="0037245C">
        <w:rPr>
          <w:b/>
        </w:rPr>
        <w:t>BŁĘD</w:t>
      </w:r>
      <w:r>
        <w:rPr>
          <w:b/>
        </w:rPr>
        <w:t>ÓW</w:t>
      </w:r>
    </w:p>
    <w:p w:rsidR="00852AF0" w:rsidRDefault="00852AF0" w:rsidP="0037245C">
      <w:pPr>
        <w:jc w:val="center"/>
        <w:rPr>
          <w:b/>
        </w:rPr>
      </w:pPr>
    </w:p>
    <w:p w:rsidR="00852AF0" w:rsidRPr="0037245C" w:rsidRDefault="00852AF0" w:rsidP="0037245C">
      <w:pPr>
        <w:jc w:val="center"/>
        <w:rPr>
          <w:b/>
        </w:rPr>
      </w:pPr>
    </w:p>
    <w:p w:rsidR="0037245C" w:rsidRDefault="0037245C" w:rsidP="008E5D27">
      <w:pPr>
        <w:rPr>
          <w:b/>
        </w:rPr>
      </w:pPr>
      <w:r w:rsidRPr="0084775E">
        <w:rPr>
          <w:b/>
        </w:rPr>
        <w:t>Kazus nr 1</w:t>
      </w:r>
    </w:p>
    <w:p w:rsidR="00C87A40" w:rsidRPr="0084775E" w:rsidRDefault="00C87A40" w:rsidP="008E5D27">
      <w:pPr>
        <w:rPr>
          <w:b/>
        </w:rPr>
      </w:pPr>
    </w:p>
    <w:p w:rsidR="0037245C" w:rsidRDefault="0037245C" w:rsidP="00344F75">
      <w:pPr>
        <w:pStyle w:val="Akapitzlist"/>
        <w:numPr>
          <w:ilvl w:val="0"/>
          <w:numId w:val="9"/>
        </w:numPr>
      </w:pPr>
      <w:r>
        <w:t xml:space="preserve">Ważność umowy zależy od połączenia mobilnego pawilonu z gruntem. </w:t>
      </w:r>
    </w:p>
    <w:p w:rsidR="00C87A40" w:rsidRDefault="00C87A40" w:rsidP="008E5D27"/>
    <w:p w:rsidR="0037245C" w:rsidRDefault="0037245C" w:rsidP="008E5D27">
      <w:pPr>
        <w:rPr>
          <w:b/>
        </w:rPr>
      </w:pPr>
      <w:r w:rsidRPr="00C87A40">
        <w:rPr>
          <w:b/>
        </w:rPr>
        <w:t>Wyjaśnienie</w:t>
      </w:r>
    </w:p>
    <w:p w:rsidR="00C87A40" w:rsidRPr="00C87A40" w:rsidRDefault="00C87A40" w:rsidP="008E5D27">
      <w:pPr>
        <w:rPr>
          <w:b/>
        </w:rPr>
      </w:pPr>
    </w:p>
    <w:p w:rsidR="0037245C" w:rsidRDefault="0037245C" w:rsidP="008E5D27">
      <w:r>
        <w:t>Mobiln</w:t>
      </w:r>
      <w:r w:rsidR="00C87A40">
        <w:t>e</w:t>
      </w:r>
      <w:r>
        <w:t xml:space="preserve"> pawilon</w:t>
      </w:r>
      <w:r w:rsidR="00C87A40">
        <w:t>y</w:t>
      </w:r>
      <w:r>
        <w:t xml:space="preserve"> </w:t>
      </w:r>
      <w:r w:rsidR="00C349AC">
        <w:t xml:space="preserve">ze swej istoty </w:t>
      </w:r>
      <w:r w:rsidR="00C87A40">
        <w:t xml:space="preserve">są składane i </w:t>
      </w:r>
      <w:r>
        <w:t>przen</w:t>
      </w:r>
      <w:r w:rsidR="00404136">
        <w:t>ośne. W stanie faktycznym kazusu</w:t>
      </w:r>
      <w:r>
        <w:t xml:space="preserve"> nie wskazywano, że mobilny pawilon miał być w szczególny sposób wbudowany w grunt (wbrew swojemu przeznaczeniu, z przebudową jego konstrukcji)</w:t>
      </w:r>
      <w:r w:rsidR="00404136">
        <w:t xml:space="preserve">, a więc nie można tego zakładać przy rozwiązaniu kazusu. Dodatkową podpowiedzią miała służyć informacja, że kupujący zamierza korzystać z tego pawilonu w innym miejscu, co oznacza, że pawilon </w:t>
      </w:r>
      <w:r w:rsidR="00C349AC">
        <w:t>powinien nadawać</w:t>
      </w:r>
      <w:r w:rsidR="00404136">
        <w:t xml:space="preserve"> się do przeniesienia. </w:t>
      </w:r>
    </w:p>
    <w:p w:rsidR="005E78F8" w:rsidRDefault="005E78F8" w:rsidP="008E5D27"/>
    <w:p w:rsidR="00344F75" w:rsidRDefault="00344F75" w:rsidP="00344F75">
      <w:pPr>
        <w:pStyle w:val="Akapitzlist"/>
        <w:numPr>
          <w:ilvl w:val="0"/>
          <w:numId w:val="9"/>
        </w:numPr>
      </w:pPr>
      <w:r>
        <w:t xml:space="preserve">Nadal zdarza się (choć już bardzo rzadko, że odpowiedzi na pytania nie zawierają uzasadnienia), a to właściwe dyskwalifikuje odpowiedź na pytanie w kazusie. </w:t>
      </w:r>
    </w:p>
    <w:p w:rsidR="00344F75" w:rsidRDefault="00344F75" w:rsidP="00344F75">
      <w:pPr>
        <w:pStyle w:val="Akapitzlist"/>
      </w:pPr>
    </w:p>
    <w:p w:rsidR="00344F75" w:rsidRDefault="00344F75" w:rsidP="00344F75">
      <w:pPr>
        <w:rPr>
          <w:b/>
        </w:rPr>
      </w:pPr>
      <w:r w:rsidRPr="00344F75">
        <w:rPr>
          <w:b/>
        </w:rPr>
        <w:t>Wyjaśnienie</w:t>
      </w:r>
    </w:p>
    <w:p w:rsidR="00852AF0" w:rsidRPr="00344F75" w:rsidRDefault="00852AF0" w:rsidP="00344F75">
      <w:pPr>
        <w:rPr>
          <w:b/>
        </w:rPr>
      </w:pPr>
    </w:p>
    <w:p w:rsidR="00344F75" w:rsidRDefault="00344F75" w:rsidP="00344F75">
      <w:r>
        <w:t>Zawsze podkreślam, że uzasadnienie odpowiedzi jest bardzo ważne</w:t>
      </w:r>
      <w:r w:rsidR="00852AF0">
        <w:t>. P</w:t>
      </w:r>
      <w:r>
        <w:t xml:space="preserve">okazuje sposób myślenia, podejście do zagadnienia, jego zrozumienie, zasób użytego słownictwa oraz ukazuje umiejętności formułowania wypowiedzi. A to wszystko, z reguły, podlega ocenie. </w:t>
      </w:r>
      <w:r w:rsidR="00C349AC">
        <w:t xml:space="preserve">Sama odpowiedź „tak” lub „nie” nie stanowi rozwiązania kazusu (to jest tylko wniosek wypływający z uzasadnienia odpowiedzi). </w:t>
      </w:r>
    </w:p>
    <w:p w:rsidR="00344F75" w:rsidRDefault="00344F75" w:rsidP="00344F75"/>
    <w:p w:rsidR="00344F75" w:rsidRDefault="00344F75" w:rsidP="00344F75">
      <w:pPr>
        <w:pStyle w:val="Akapitzlist"/>
        <w:numPr>
          <w:ilvl w:val="0"/>
          <w:numId w:val="9"/>
        </w:numPr>
      </w:pPr>
      <w:r>
        <w:t xml:space="preserve">Zdarza się jeszcze, że nie jest podawana podstawa prawna. </w:t>
      </w:r>
    </w:p>
    <w:p w:rsidR="00344F75" w:rsidRDefault="00344F75" w:rsidP="00344F75"/>
    <w:p w:rsidR="00344F75" w:rsidRDefault="00344F75" w:rsidP="00344F75">
      <w:pPr>
        <w:rPr>
          <w:b/>
        </w:rPr>
      </w:pPr>
      <w:r w:rsidRPr="00344F75">
        <w:rPr>
          <w:b/>
        </w:rPr>
        <w:t>Wyjaśnienie</w:t>
      </w:r>
    </w:p>
    <w:p w:rsidR="00852AF0" w:rsidRPr="00344F75" w:rsidRDefault="00852AF0" w:rsidP="00344F75">
      <w:pPr>
        <w:rPr>
          <w:b/>
        </w:rPr>
      </w:pPr>
    </w:p>
    <w:p w:rsidR="00344F75" w:rsidRDefault="00344F75" w:rsidP="00344F75">
      <w:r>
        <w:t>Jeżeli przy udzieleniu odpowiedzi na pytanie powołuje się na treść przepisu prawnego, koniecznie należy wymienić artykuł</w:t>
      </w:r>
      <w:r w:rsidR="00852AF0">
        <w:t xml:space="preserve"> (paragraf)</w:t>
      </w:r>
      <w:r>
        <w:t xml:space="preserve">, w którym ten przepis jest zawarty. Zwiększa to wartość merytoryczną odpowiedzi, a niekiedy rozstrzyga </w:t>
      </w:r>
      <w:r w:rsidR="00852AF0">
        <w:t>nawet o uznaniu jej za poprawną albo za błędną.</w:t>
      </w:r>
    </w:p>
    <w:p w:rsidR="00852AF0" w:rsidRDefault="00852AF0" w:rsidP="00344F75"/>
    <w:p w:rsidR="00344F75" w:rsidRDefault="00344F75" w:rsidP="00344F75">
      <w:pPr>
        <w:pStyle w:val="Akapitzlist"/>
      </w:pPr>
    </w:p>
    <w:p w:rsidR="00852AF0" w:rsidRDefault="00852AF0" w:rsidP="008E5D27">
      <w:pPr>
        <w:rPr>
          <w:b/>
        </w:rPr>
      </w:pPr>
    </w:p>
    <w:p w:rsidR="00852AF0" w:rsidRDefault="00852AF0" w:rsidP="008E5D27">
      <w:pPr>
        <w:rPr>
          <w:b/>
        </w:rPr>
      </w:pPr>
    </w:p>
    <w:p w:rsidR="0084775E" w:rsidRDefault="0084775E" w:rsidP="008E5D27">
      <w:pPr>
        <w:rPr>
          <w:b/>
        </w:rPr>
      </w:pPr>
      <w:r w:rsidRPr="005E78F8">
        <w:rPr>
          <w:b/>
        </w:rPr>
        <w:t>Kazus nr 2</w:t>
      </w:r>
    </w:p>
    <w:p w:rsidR="005E78F8" w:rsidRPr="005E78F8" w:rsidRDefault="005E78F8" w:rsidP="008E5D27">
      <w:pPr>
        <w:rPr>
          <w:b/>
        </w:rPr>
      </w:pPr>
    </w:p>
    <w:p w:rsidR="00852AF0" w:rsidRDefault="00852AF0" w:rsidP="008E5D27">
      <w:r>
        <w:t>Analizowanie innych zagadnień niż te, które zostały</w:t>
      </w:r>
      <w:r w:rsidR="0084775E">
        <w:t xml:space="preserve"> </w:t>
      </w:r>
      <w:r>
        <w:t>podane</w:t>
      </w:r>
      <w:r w:rsidR="0084775E">
        <w:t xml:space="preserve"> w kazusie i w pytaniu. </w:t>
      </w:r>
    </w:p>
    <w:p w:rsidR="00852AF0" w:rsidRDefault="00852AF0" w:rsidP="008E5D27"/>
    <w:p w:rsidR="00852AF0" w:rsidRPr="00852AF0" w:rsidRDefault="00852AF0" w:rsidP="008E5D27">
      <w:pPr>
        <w:rPr>
          <w:b/>
        </w:rPr>
      </w:pPr>
      <w:r w:rsidRPr="00852AF0">
        <w:rPr>
          <w:b/>
        </w:rPr>
        <w:t>Wyjaśnienie</w:t>
      </w:r>
    </w:p>
    <w:p w:rsidR="00852AF0" w:rsidRDefault="00852AF0" w:rsidP="008E5D27"/>
    <w:p w:rsidR="004E37DB" w:rsidRDefault="0084775E" w:rsidP="008E5D27">
      <w:r>
        <w:t xml:space="preserve">Zamiast oceny argumentacji sprzedawcy zawartej w kazusie, rozwiązania kazusów zawierają uzasadnienie tego, dlaczego reklamacja jest zasadna. Powołanie się na przepisy o rękojmi </w:t>
      </w:r>
      <w:r w:rsidR="004E37DB">
        <w:t>byłoby</w:t>
      </w:r>
      <w:r w:rsidR="00852AF0">
        <w:t xml:space="preserve">, oczywiście, </w:t>
      </w:r>
      <w:r>
        <w:t>prawidłowe, jeżeli zadanie w kazusie polegałoby tylko na wykazaniu, że reklamacja jest zasadna</w:t>
      </w:r>
      <w:r w:rsidR="004E37DB">
        <w:t xml:space="preserve"> (choć nadal niepełne)</w:t>
      </w:r>
      <w:r>
        <w:t xml:space="preserve">. Jednakże w kazusach istotne jest </w:t>
      </w:r>
      <w:r w:rsidRPr="00852AF0">
        <w:rPr>
          <w:b/>
        </w:rPr>
        <w:t>pytanie</w:t>
      </w:r>
      <w:r w:rsidR="00852AF0">
        <w:t>. M</w:t>
      </w:r>
      <w:r>
        <w:t>ówiliśmy już o tym: to pytanie (oraz stan faktyczny) określa zakres i kierunek odpowiedzi. Bez względu na to</w:t>
      </w:r>
      <w:r w:rsidR="00852AF0">
        <w:t>,</w:t>
      </w:r>
      <w:r>
        <w:t xml:space="preserve"> jak trafne argumenty zostaną podniesione w odpowiedzi, jeżeli nie stanowią odpowiedzi na postawione pytanie (lub zadanie)</w:t>
      </w:r>
      <w:r w:rsidR="004E37DB">
        <w:t xml:space="preserve">, </w:t>
      </w:r>
      <w:r>
        <w:t xml:space="preserve">rozwiązanie kazusu nie będzie poprawne. </w:t>
      </w:r>
    </w:p>
    <w:p w:rsidR="00462154" w:rsidRDefault="0084775E" w:rsidP="008E5D27">
      <w:r>
        <w:t xml:space="preserve">W stanie faktycznym kazusu nie ma ani słowa </w:t>
      </w:r>
      <w:r w:rsidR="004E37DB">
        <w:t>o podstawach rękojmi (wykracza to też daleko poza zakres ćwiczeń i wykładów, które określają</w:t>
      </w:r>
      <w:r w:rsidR="00462154">
        <w:t xml:space="preserve"> zagadnienia analizowane</w:t>
      </w:r>
      <w:r w:rsidR="004E37DB">
        <w:t xml:space="preserve"> w kazusach</w:t>
      </w:r>
      <w:r w:rsidR="00852AF0">
        <w:t xml:space="preserve"> - </w:t>
      </w:r>
      <w:r w:rsidR="004E37DB">
        <w:t>na co zwracałam Państw</w:t>
      </w:r>
      <w:r w:rsidR="00462154">
        <w:t>u</w:t>
      </w:r>
      <w:r w:rsidR="004E37DB">
        <w:t xml:space="preserve"> uwagę w wykazie błędów do kazusów z dnia 24.05.2020 r. i też chodziło o rękojmię)</w:t>
      </w:r>
      <w:r w:rsidR="00544263">
        <w:t>, a więc może służyć, ewentualnie, jak</w:t>
      </w:r>
      <w:r w:rsidR="00916334">
        <w:t xml:space="preserve">o </w:t>
      </w:r>
      <w:r w:rsidR="00544263">
        <w:t>dodatek do odpowiedzi</w:t>
      </w:r>
      <w:r w:rsidR="004E37DB">
        <w:t xml:space="preserve">. </w:t>
      </w:r>
      <w:r w:rsidR="00462154">
        <w:t xml:space="preserve">W kazusie natomiast jest zawarta </w:t>
      </w:r>
      <w:r w:rsidR="004E37DB">
        <w:t xml:space="preserve">argumentacja sprzedawcy, który </w:t>
      </w:r>
      <w:r w:rsidR="00462154">
        <w:t>podnosi</w:t>
      </w:r>
      <w:r w:rsidR="004E37DB">
        <w:t>, że przycisku „Enter” w ogóle nie sprzedał. A zadanie polegało na ocenie poprawności twierdzeń sprzedawcy</w:t>
      </w:r>
      <w:r w:rsidR="00462154">
        <w:t xml:space="preserve">. </w:t>
      </w:r>
      <w:r w:rsidR="00916334">
        <w:t>P</w:t>
      </w:r>
      <w:r w:rsidR="00916334">
        <w:t>rzepisy prawne</w:t>
      </w:r>
      <w:r w:rsidR="00916334">
        <w:t xml:space="preserve">, powoływane </w:t>
      </w:r>
      <w:r w:rsidR="004E37DB">
        <w:t>w odpowiedzi</w:t>
      </w:r>
      <w:r w:rsidR="00916334">
        <w:t>,</w:t>
      </w:r>
      <w:r w:rsidR="004E37DB">
        <w:t xml:space="preserve"> </w:t>
      </w:r>
      <w:r w:rsidR="00462154">
        <w:t xml:space="preserve">także </w:t>
      </w:r>
      <w:r w:rsidR="004E37DB">
        <w:t xml:space="preserve">powinny </w:t>
      </w:r>
      <w:r w:rsidR="00916334">
        <w:t xml:space="preserve">służyć </w:t>
      </w:r>
      <w:r w:rsidR="004E37DB">
        <w:t>potwierdz</w:t>
      </w:r>
      <w:r w:rsidR="00916334">
        <w:t>eniu</w:t>
      </w:r>
      <w:r w:rsidR="004E37DB">
        <w:t xml:space="preserve"> albo obal</w:t>
      </w:r>
      <w:r w:rsidR="00916334">
        <w:t>eniu</w:t>
      </w:r>
      <w:r w:rsidR="004E37DB">
        <w:t xml:space="preserve"> argumentacj</w:t>
      </w:r>
      <w:r w:rsidR="00916334">
        <w:t>i</w:t>
      </w:r>
      <w:r w:rsidR="00462154">
        <w:t xml:space="preserve"> sprzedawcy</w:t>
      </w:r>
      <w:r w:rsidR="004E37DB">
        <w:t xml:space="preserve">. </w:t>
      </w:r>
    </w:p>
    <w:p w:rsidR="0084775E" w:rsidRDefault="004E37DB" w:rsidP="008E5D27">
      <w:r>
        <w:t xml:space="preserve">Tak szeroko omawiam ten rodzaj błędu, gdyż jest to błąd, który często występuje przy rozwiązaniu kazusów przez studentów na wyższych latach studiów. Mając szerszą wiedzę na temat różnych zagadnień, studenci wyprowadzają trafne twierdzenia, pięknie uzasadnione, które </w:t>
      </w:r>
      <w:r w:rsidR="00C87A40">
        <w:t>mogą</w:t>
      </w:r>
      <w:r>
        <w:t xml:space="preserve"> prowadz</w:t>
      </w:r>
      <w:r w:rsidR="00C87A40">
        <w:t xml:space="preserve">ić </w:t>
      </w:r>
      <w:r>
        <w:t>do uzyskania</w:t>
      </w:r>
      <w:r w:rsidR="00C87A40">
        <w:t xml:space="preserve"> oceny niedostatecznej za rozwiązanie kazusu</w:t>
      </w:r>
      <w:r>
        <w:t>. Dlatego trzeba na to uważać.</w:t>
      </w:r>
    </w:p>
    <w:p w:rsidR="00233996" w:rsidRDefault="00233996" w:rsidP="008E5D27"/>
    <w:p w:rsidR="00462154" w:rsidRDefault="00462154" w:rsidP="008E5D27">
      <w:r>
        <w:t xml:space="preserve">Na marginesie warto wspomnieć  o tym, że zarzut reklamacji oparty na braku kompletności towaru bazuje właśnie na zagadnieniach, które należało rozważyć w kazusie (gdyż ta niekompletność towaru polega na tym, że </w:t>
      </w:r>
      <w:r w:rsidR="00916334">
        <w:t>klawisz</w:t>
      </w:r>
      <w:r>
        <w:t xml:space="preserve"> „Enter” stanowi część składową klawiatury i dlatego jego brak stanowi wadę rzeczy sprzedanej. Bez ustalenia tego, że </w:t>
      </w:r>
      <w:r w:rsidR="00916334">
        <w:t>klawisz</w:t>
      </w:r>
      <w:r>
        <w:t xml:space="preserve"> miał być, nie można powołać się na to, że go nie ma.</w:t>
      </w:r>
    </w:p>
    <w:p w:rsidR="00544263" w:rsidRDefault="00544263" w:rsidP="008E5D27">
      <w:pPr>
        <w:rPr>
          <w:b/>
        </w:rPr>
      </w:pPr>
    </w:p>
    <w:p w:rsidR="00852AF0" w:rsidRPr="00EA1581" w:rsidRDefault="00852AF0" w:rsidP="008E5D27">
      <w:pPr>
        <w:rPr>
          <w:b/>
        </w:rPr>
      </w:pPr>
    </w:p>
    <w:p w:rsidR="00544263" w:rsidRPr="00EA1581" w:rsidRDefault="00544263" w:rsidP="008E5D27">
      <w:pPr>
        <w:rPr>
          <w:b/>
        </w:rPr>
      </w:pPr>
      <w:r w:rsidRPr="00EA1581">
        <w:rPr>
          <w:b/>
        </w:rPr>
        <w:t>Kazus nr 3</w:t>
      </w:r>
      <w:bookmarkStart w:id="0" w:name="_GoBack"/>
      <w:bookmarkEnd w:id="0"/>
    </w:p>
    <w:p w:rsidR="00544263" w:rsidRDefault="00544263" w:rsidP="008E5D27"/>
    <w:p w:rsidR="00852AF0" w:rsidRDefault="00544263" w:rsidP="008E5D27">
      <w:r>
        <w:t>Brak podania pełnej podstawy prawnej art. 158 k.c. i art. 73 § 2</w:t>
      </w:r>
      <w:r w:rsidR="00344F75">
        <w:t xml:space="preserve"> zd. 1</w:t>
      </w:r>
      <w:r>
        <w:t xml:space="preserve"> k.c. </w:t>
      </w:r>
    </w:p>
    <w:p w:rsidR="00852AF0" w:rsidRDefault="00852AF0" w:rsidP="008E5D27"/>
    <w:p w:rsidR="00852AF0" w:rsidRPr="00852AF0" w:rsidRDefault="00852AF0" w:rsidP="008E5D27">
      <w:pPr>
        <w:rPr>
          <w:b/>
        </w:rPr>
      </w:pPr>
      <w:r w:rsidRPr="00852AF0">
        <w:rPr>
          <w:b/>
        </w:rPr>
        <w:t>Wyjaśnienie</w:t>
      </w:r>
    </w:p>
    <w:p w:rsidR="00852AF0" w:rsidRDefault="00852AF0" w:rsidP="008E5D27"/>
    <w:p w:rsidR="00544263" w:rsidRDefault="00544263" w:rsidP="008E5D27">
      <w:r>
        <w:t xml:space="preserve">Obowiązek zachowania formy aktu notarialnego umowy sprzedaży w sytuacji omawianej w kazusie wynika z art. 158 k.c. Natomiast skutek braku zachowania tej formy określa już art. </w:t>
      </w:r>
      <w:r w:rsidRPr="00544263">
        <w:t>73 § 2</w:t>
      </w:r>
      <w:r w:rsidR="00344F75">
        <w:t xml:space="preserve"> </w:t>
      </w:r>
      <w:r w:rsidRPr="00544263">
        <w:t>k.c</w:t>
      </w:r>
      <w:r>
        <w:t>. Dlatego oba przepisy powinny być podane jako podstawa prawna poprawnej odpowiedzi.</w:t>
      </w:r>
    </w:p>
    <w:p w:rsidR="00344F75" w:rsidRDefault="00344F75" w:rsidP="008E5D27"/>
    <w:p w:rsidR="00344F75" w:rsidRDefault="00344F75" w:rsidP="00344F75">
      <w:pPr>
        <w:jc w:val="center"/>
      </w:pPr>
    </w:p>
    <w:p w:rsidR="00344F75" w:rsidRPr="008E5D27" w:rsidRDefault="00344F75" w:rsidP="00344F75">
      <w:pPr>
        <w:jc w:val="center"/>
      </w:pPr>
    </w:p>
    <w:sectPr w:rsidR="00344F75" w:rsidRPr="008E5D27" w:rsidSect="0032331F">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B57" w:rsidRDefault="00BA1B57" w:rsidP="00823F62">
      <w:pPr>
        <w:spacing w:line="240" w:lineRule="auto"/>
      </w:pPr>
      <w:r>
        <w:separator/>
      </w:r>
    </w:p>
  </w:endnote>
  <w:endnote w:type="continuationSeparator" w:id="0">
    <w:p w:rsidR="00BA1B57" w:rsidRDefault="00BA1B57" w:rsidP="00823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B57" w:rsidRDefault="00BA1B57" w:rsidP="00823F62">
      <w:pPr>
        <w:spacing w:line="240" w:lineRule="auto"/>
      </w:pPr>
      <w:r>
        <w:separator/>
      </w:r>
    </w:p>
  </w:footnote>
  <w:footnote w:type="continuationSeparator" w:id="0">
    <w:p w:rsidR="00BA1B57" w:rsidRDefault="00BA1B57" w:rsidP="00823F6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777F"/>
    <w:multiLevelType w:val="hybridMultilevel"/>
    <w:tmpl w:val="AAB444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7A54AE"/>
    <w:multiLevelType w:val="hybridMultilevel"/>
    <w:tmpl w:val="762E5B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0033F5"/>
    <w:multiLevelType w:val="hybridMultilevel"/>
    <w:tmpl w:val="0A385B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042F87"/>
    <w:multiLevelType w:val="hybridMultilevel"/>
    <w:tmpl w:val="2EDE7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CF32B55"/>
    <w:multiLevelType w:val="hybridMultilevel"/>
    <w:tmpl w:val="FEC09F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D53F62"/>
    <w:multiLevelType w:val="hybridMultilevel"/>
    <w:tmpl w:val="07324F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C257C6"/>
    <w:multiLevelType w:val="hybridMultilevel"/>
    <w:tmpl w:val="D4E60C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9B6484F"/>
    <w:multiLevelType w:val="hybridMultilevel"/>
    <w:tmpl w:val="D4E60C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19E0A58"/>
    <w:multiLevelType w:val="hybridMultilevel"/>
    <w:tmpl w:val="72545FEA"/>
    <w:lvl w:ilvl="0" w:tplc="AC0AAD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2"/>
  </w:num>
  <w:num w:numId="5">
    <w:abstractNumId w:val="1"/>
  </w:num>
  <w:num w:numId="6">
    <w:abstractNumId w:val="5"/>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D6"/>
    <w:rsid w:val="00013FAA"/>
    <w:rsid w:val="00065246"/>
    <w:rsid w:val="000B267D"/>
    <w:rsid w:val="0010366D"/>
    <w:rsid w:val="00141EDB"/>
    <w:rsid w:val="0016285A"/>
    <w:rsid w:val="001668E7"/>
    <w:rsid w:val="00177D83"/>
    <w:rsid w:val="001D7A9B"/>
    <w:rsid w:val="001E22ED"/>
    <w:rsid w:val="0021576E"/>
    <w:rsid w:val="00233996"/>
    <w:rsid w:val="0023731A"/>
    <w:rsid w:val="0025101C"/>
    <w:rsid w:val="00275DA3"/>
    <w:rsid w:val="0029371F"/>
    <w:rsid w:val="00295F18"/>
    <w:rsid w:val="00300415"/>
    <w:rsid w:val="0030248B"/>
    <w:rsid w:val="003151CD"/>
    <w:rsid w:val="0032331F"/>
    <w:rsid w:val="00344F75"/>
    <w:rsid w:val="0035304E"/>
    <w:rsid w:val="00355F10"/>
    <w:rsid w:val="003618A1"/>
    <w:rsid w:val="0037245C"/>
    <w:rsid w:val="003962FC"/>
    <w:rsid w:val="003A01BE"/>
    <w:rsid w:val="003A181F"/>
    <w:rsid w:val="003C2857"/>
    <w:rsid w:val="003E3487"/>
    <w:rsid w:val="00402AEA"/>
    <w:rsid w:val="00404074"/>
    <w:rsid w:val="00404136"/>
    <w:rsid w:val="0041106D"/>
    <w:rsid w:val="00412C86"/>
    <w:rsid w:val="00430132"/>
    <w:rsid w:val="004416B3"/>
    <w:rsid w:val="00462154"/>
    <w:rsid w:val="00463CFD"/>
    <w:rsid w:val="004730C4"/>
    <w:rsid w:val="00473976"/>
    <w:rsid w:val="004752AB"/>
    <w:rsid w:val="004B1BC3"/>
    <w:rsid w:val="004B5187"/>
    <w:rsid w:val="004C11D2"/>
    <w:rsid w:val="004D240A"/>
    <w:rsid w:val="004D4D3C"/>
    <w:rsid w:val="004E37DB"/>
    <w:rsid w:val="00544263"/>
    <w:rsid w:val="00560824"/>
    <w:rsid w:val="00571BA6"/>
    <w:rsid w:val="005B13AC"/>
    <w:rsid w:val="005B7B37"/>
    <w:rsid w:val="005D1CBA"/>
    <w:rsid w:val="005E78F8"/>
    <w:rsid w:val="005F42AD"/>
    <w:rsid w:val="006311BE"/>
    <w:rsid w:val="00640785"/>
    <w:rsid w:val="00660250"/>
    <w:rsid w:val="006E58CF"/>
    <w:rsid w:val="007031CC"/>
    <w:rsid w:val="007333D4"/>
    <w:rsid w:val="0074593A"/>
    <w:rsid w:val="007C6645"/>
    <w:rsid w:val="007E1E2D"/>
    <w:rsid w:val="00805DF9"/>
    <w:rsid w:val="00810A5E"/>
    <w:rsid w:val="00814495"/>
    <w:rsid w:val="00823F62"/>
    <w:rsid w:val="008359A2"/>
    <w:rsid w:val="00841316"/>
    <w:rsid w:val="0084775E"/>
    <w:rsid w:val="00852AF0"/>
    <w:rsid w:val="008725F4"/>
    <w:rsid w:val="008E5D27"/>
    <w:rsid w:val="008F18D0"/>
    <w:rsid w:val="0090794E"/>
    <w:rsid w:val="009106FF"/>
    <w:rsid w:val="00911386"/>
    <w:rsid w:val="00916334"/>
    <w:rsid w:val="009318EC"/>
    <w:rsid w:val="009851AB"/>
    <w:rsid w:val="009925AD"/>
    <w:rsid w:val="00996AD6"/>
    <w:rsid w:val="009A0320"/>
    <w:rsid w:val="009A3295"/>
    <w:rsid w:val="009B57D6"/>
    <w:rsid w:val="009E6A30"/>
    <w:rsid w:val="00A3675A"/>
    <w:rsid w:val="00A579CC"/>
    <w:rsid w:val="00A61301"/>
    <w:rsid w:val="00A70E53"/>
    <w:rsid w:val="00A763C5"/>
    <w:rsid w:val="00AA14E5"/>
    <w:rsid w:val="00AB3690"/>
    <w:rsid w:val="00AD7889"/>
    <w:rsid w:val="00AE09D3"/>
    <w:rsid w:val="00AF2E1D"/>
    <w:rsid w:val="00B06C9C"/>
    <w:rsid w:val="00BA1B57"/>
    <w:rsid w:val="00BE52D0"/>
    <w:rsid w:val="00BF110F"/>
    <w:rsid w:val="00BF6ED5"/>
    <w:rsid w:val="00C21915"/>
    <w:rsid w:val="00C256B9"/>
    <w:rsid w:val="00C349AC"/>
    <w:rsid w:val="00C47986"/>
    <w:rsid w:val="00C544AE"/>
    <w:rsid w:val="00C7636C"/>
    <w:rsid w:val="00C76CEC"/>
    <w:rsid w:val="00C81467"/>
    <w:rsid w:val="00C87A40"/>
    <w:rsid w:val="00CA7A62"/>
    <w:rsid w:val="00CD12CF"/>
    <w:rsid w:val="00D2356A"/>
    <w:rsid w:val="00D258E8"/>
    <w:rsid w:val="00D324D2"/>
    <w:rsid w:val="00D4402D"/>
    <w:rsid w:val="00D721FE"/>
    <w:rsid w:val="00D9745B"/>
    <w:rsid w:val="00DC31E6"/>
    <w:rsid w:val="00E110E2"/>
    <w:rsid w:val="00E427B3"/>
    <w:rsid w:val="00E65150"/>
    <w:rsid w:val="00E71861"/>
    <w:rsid w:val="00E8631B"/>
    <w:rsid w:val="00E9759A"/>
    <w:rsid w:val="00EA12E7"/>
    <w:rsid w:val="00EA1581"/>
    <w:rsid w:val="00EA63EE"/>
    <w:rsid w:val="00EB4360"/>
    <w:rsid w:val="00EC1036"/>
    <w:rsid w:val="00EE7310"/>
    <w:rsid w:val="00F473D5"/>
    <w:rsid w:val="00F74F71"/>
    <w:rsid w:val="00FE0818"/>
    <w:rsid w:val="00FF28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E035E-C8BC-4ACD-9440-6A23B400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pl-PL"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181F"/>
    <w:pPr>
      <w:ind w:left="720"/>
      <w:contextualSpacing/>
    </w:pPr>
  </w:style>
  <w:style w:type="paragraph" w:styleId="Tekstprzypisukocowego">
    <w:name w:val="endnote text"/>
    <w:basedOn w:val="Normalny"/>
    <w:link w:val="TekstprzypisukocowegoZnak"/>
    <w:uiPriority w:val="99"/>
    <w:semiHidden/>
    <w:unhideWhenUsed/>
    <w:rsid w:val="00823F62"/>
    <w:pPr>
      <w:spacing w:line="240" w:lineRule="auto"/>
    </w:pPr>
  </w:style>
  <w:style w:type="character" w:customStyle="1" w:styleId="TekstprzypisukocowegoZnak">
    <w:name w:val="Tekst przypisu końcowego Znak"/>
    <w:basedOn w:val="Domylnaczcionkaakapitu"/>
    <w:link w:val="Tekstprzypisukocowego"/>
    <w:uiPriority w:val="99"/>
    <w:semiHidden/>
    <w:rsid w:val="00823F62"/>
  </w:style>
  <w:style w:type="character" w:styleId="Odwoanieprzypisukocowego">
    <w:name w:val="endnote reference"/>
    <w:basedOn w:val="Domylnaczcionkaakapitu"/>
    <w:uiPriority w:val="99"/>
    <w:semiHidden/>
    <w:unhideWhenUsed/>
    <w:rsid w:val="00823F62"/>
    <w:rPr>
      <w:vertAlign w:val="superscript"/>
    </w:rPr>
  </w:style>
  <w:style w:type="character" w:styleId="Hipercze">
    <w:name w:val="Hyperlink"/>
    <w:basedOn w:val="Domylnaczcionkaakapitu"/>
    <w:uiPriority w:val="99"/>
    <w:unhideWhenUsed/>
    <w:rsid w:val="009113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4</Pages>
  <Words>1495</Words>
  <Characters>8973</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Wenusi Kr</dc:creator>
  <cp:keywords/>
  <dc:description/>
  <cp:lastModifiedBy>Wenusi Kr</cp:lastModifiedBy>
  <cp:revision>22</cp:revision>
  <dcterms:created xsi:type="dcterms:W3CDTF">2020-05-23T17:48:00Z</dcterms:created>
  <dcterms:modified xsi:type="dcterms:W3CDTF">2020-06-08T06:22:00Z</dcterms:modified>
</cp:coreProperties>
</file>