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501C" w14:textId="77777777" w:rsidR="008E3BA4" w:rsidRPr="00A43068" w:rsidRDefault="0024783F" w:rsidP="00A43068">
      <w:pPr>
        <w:spacing w:line="360" w:lineRule="auto"/>
        <w:jc w:val="center"/>
        <w:textAlignment w:val="baseline"/>
        <w:rPr>
          <w:rFonts w:eastAsia="Times New Roman"/>
          <w:b/>
          <w:color w:val="000000" w:themeColor="text1"/>
          <w:sz w:val="24"/>
          <w:szCs w:val="24"/>
          <w:lang w:val="en-US"/>
        </w:rPr>
      </w:pPr>
      <w:r w:rsidRPr="00A43068">
        <w:rPr>
          <w:rFonts w:eastAsia="Times New Roman"/>
          <w:b/>
          <w:color w:val="000000" w:themeColor="text1"/>
          <w:sz w:val="24"/>
          <w:szCs w:val="24"/>
          <w:lang w:val="en-US"/>
        </w:rPr>
        <w:t>CRIMINAL PROCEDURE AND COURTS</w:t>
      </w:r>
    </w:p>
    <w:p w14:paraId="7229F831" w14:textId="754DE6DC" w:rsidR="008E3BA4" w:rsidRPr="00A43068" w:rsidRDefault="008E3BA4" w:rsidP="00A43068">
      <w:pPr>
        <w:spacing w:line="360" w:lineRule="auto"/>
        <w:jc w:val="center"/>
        <w:textAlignment w:val="baseline"/>
        <w:rPr>
          <w:rFonts w:eastAsia="Times New Roman"/>
          <w:b/>
          <w:color w:val="000000" w:themeColor="text1"/>
          <w:sz w:val="24"/>
          <w:szCs w:val="24"/>
          <w:lang w:val="en-US"/>
        </w:rPr>
      </w:pPr>
    </w:p>
    <w:p w14:paraId="335CE8B8" w14:textId="7FBFF257" w:rsidR="004D1C18" w:rsidRPr="00A43068" w:rsidRDefault="00C81D82" w:rsidP="00A43068">
      <w:pPr>
        <w:spacing w:line="360" w:lineRule="auto"/>
        <w:rPr>
          <w:b/>
          <w:color w:val="000000" w:themeColor="text1"/>
          <w:sz w:val="24"/>
          <w:szCs w:val="24"/>
          <w:lang w:val="en-US"/>
        </w:rPr>
      </w:pPr>
      <w:r w:rsidRPr="00A43068">
        <w:rPr>
          <w:b/>
          <w:color w:val="000000" w:themeColor="text1"/>
          <w:sz w:val="24"/>
          <w:szCs w:val="24"/>
          <w:lang w:val="en-US"/>
        </w:rPr>
        <w:t>Sc</w:t>
      </w:r>
      <w:r w:rsidR="005B4984" w:rsidRPr="00A43068">
        <w:rPr>
          <w:b/>
          <w:color w:val="000000" w:themeColor="text1"/>
          <w:sz w:val="24"/>
          <w:szCs w:val="24"/>
          <w:lang w:val="en-US"/>
        </w:rPr>
        <w:t>hedule</w:t>
      </w:r>
      <w:r w:rsidRPr="00A43068">
        <w:rPr>
          <w:b/>
          <w:color w:val="000000" w:themeColor="text1"/>
          <w:sz w:val="24"/>
          <w:szCs w:val="24"/>
          <w:lang w:val="en-US"/>
        </w:rPr>
        <w:t xml:space="preserve"> of classe</w:t>
      </w:r>
      <w:r w:rsidR="00086978" w:rsidRPr="00A43068">
        <w:rPr>
          <w:b/>
          <w:color w:val="000000" w:themeColor="text1"/>
          <w:sz w:val="24"/>
          <w:szCs w:val="24"/>
          <w:lang w:val="en-US"/>
        </w:rPr>
        <w:t>s</w:t>
      </w:r>
      <w:r w:rsidRPr="00A43068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14:paraId="6B93F1A5" w14:textId="77777777" w:rsidR="009538BF" w:rsidRPr="00A43068" w:rsidRDefault="00D263B4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US"/>
        </w:rPr>
      </w:pPr>
      <w:r w:rsidRPr="00A43068">
        <w:rPr>
          <w:color w:val="000000" w:themeColor="text1"/>
          <w:sz w:val="24"/>
          <w:szCs w:val="24"/>
          <w:lang w:val="en-US"/>
        </w:rPr>
        <w:t xml:space="preserve">Introduction to the classes. </w:t>
      </w:r>
      <w:r w:rsidR="009538BF" w:rsidRPr="00A43068">
        <w:rPr>
          <w:color w:val="000000" w:themeColor="text1"/>
          <w:sz w:val="24"/>
          <w:szCs w:val="24"/>
          <w:lang w:val="en-US"/>
        </w:rPr>
        <w:t>Phases of criminal process: overview. The participants to criminal process</w:t>
      </w:r>
    </w:p>
    <w:p w14:paraId="0E58ABEB" w14:textId="591C7D94" w:rsidR="00D263B4" w:rsidRPr="00A43068" w:rsidRDefault="009538BF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US"/>
        </w:rPr>
      </w:pPr>
      <w:r w:rsidRPr="00A43068">
        <w:rPr>
          <w:color w:val="000000" w:themeColor="text1"/>
          <w:sz w:val="24"/>
          <w:szCs w:val="24"/>
          <w:lang w:val="en-US"/>
        </w:rPr>
        <w:t>The introduction to Comparative Law. Basic notions of Criminal Procedure.</w:t>
      </w:r>
    </w:p>
    <w:p w14:paraId="6A423811" w14:textId="12DFE09C" w:rsidR="00D263B4" w:rsidRPr="00A43068" w:rsidRDefault="00D263B4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GB"/>
        </w:rPr>
      </w:pPr>
      <w:r w:rsidRPr="00A43068">
        <w:rPr>
          <w:color w:val="000000" w:themeColor="text1"/>
          <w:sz w:val="24"/>
          <w:szCs w:val="24"/>
          <w:lang w:val="en-GB"/>
        </w:rPr>
        <w:t>OJ Simpson case,</w:t>
      </w:r>
      <w:r w:rsidR="00425C1B" w:rsidRPr="00A43068">
        <w:rPr>
          <w:color w:val="000000" w:themeColor="text1"/>
          <w:sz w:val="24"/>
          <w:szCs w:val="24"/>
          <w:lang w:val="en-GB"/>
        </w:rPr>
        <w:t xml:space="preserve"> Brady v Maryland, US v Ruiz</w:t>
      </w:r>
      <w:r w:rsidRPr="00A43068">
        <w:rPr>
          <w:color w:val="000000" w:themeColor="text1"/>
          <w:sz w:val="24"/>
          <w:szCs w:val="24"/>
          <w:lang w:val="en-GB"/>
        </w:rPr>
        <w:t xml:space="preserve"> –</w:t>
      </w:r>
      <w:r w:rsidR="00086978" w:rsidRPr="00A43068">
        <w:rPr>
          <w:color w:val="000000" w:themeColor="text1"/>
          <w:sz w:val="24"/>
          <w:szCs w:val="24"/>
          <w:lang w:val="en-GB"/>
        </w:rPr>
        <w:t xml:space="preserve"> </w:t>
      </w:r>
      <w:r w:rsidRPr="00A43068">
        <w:rPr>
          <w:color w:val="000000" w:themeColor="text1"/>
          <w:sz w:val="24"/>
          <w:szCs w:val="24"/>
          <w:lang w:val="en-GB"/>
        </w:rPr>
        <w:t xml:space="preserve">circumstantial evidence, </w:t>
      </w:r>
      <w:r w:rsidR="00086978" w:rsidRPr="00A43068">
        <w:rPr>
          <w:color w:val="000000" w:themeColor="text1"/>
          <w:sz w:val="24"/>
          <w:szCs w:val="24"/>
          <w:lang w:val="en-GB"/>
        </w:rPr>
        <w:t>rules of disclosure</w:t>
      </w:r>
      <w:r w:rsidRPr="00A43068">
        <w:rPr>
          <w:color w:val="000000" w:themeColor="text1"/>
          <w:sz w:val="24"/>
          <w:szCs w:val="24"/>
          <w:lang w:val="en-GB"/>
        </w:rPr>
        <w:t xml:space="preserve"> </w:t>
      </w:r>
    </w:p>
    <w:p w14:paraId="096DD34C" w14:textId="7DBB6680" w:rsidR="00D263B4" w:rsidRPr="00A43068" w:rsidRDefault="00D263B4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GB"/>
        </w:rPr>
      </w:pPr>
      <w:r w:rsidRPr="00A43068">
        <w:rPr>
          <w:color w:val="000000" w:themeColor="text1"/>
          <w:sz w:val="24"/>
          <w:szCs w:val="24"/>
          <w:lang w:val="en-GB"/>
        </w:rPr>
        <w:t>Tomasz Komenda case</w:t>
      </w:r>
      <w:r w:rsidR="00425C1B" w:rsidRPr="00A43068">
        <w:rPr>
          <w:color w:val="000000" w:themeColor="text1"/>
          <w:sz w:val="24"/>
          <w:szCs w:val="24"/>
          <w:lang w:val="en-GB"/>
        </w:rPr>
        <w:t>, House v Bell</w:t>
      </w:r>
      <w:r w:rsidRPr="00A43068">
        <w:rPr>
          <w:color w:val="000000" w:themeColor="text1"/>
          <w:sz w:val="24"/>
          <w:szCs w:val="24"/>
          <w:lang w:val="en-GB"/>
        </w:rPr>
        <w:t xml:space="preserve"> – </w:t>
      </w:r>
      <w:r w:rsidR="00425C1B" w:rsidRPr="00A43068">
        <w:rPr>
          <w:color w:val="000000" w:themeColor="text1"/>
          <w:sz w:val="24"/>
          <w:szCs w:val="24"/>
          <w:lang w:val="en-GB"/>
        </w:rPr>
        <w:t xml:space="preserve">wrongful convictions and their compensation </w:t>
      </w:r>
    </w:p>
    <w:p w14:paraId="0FCE646F" w14:textId="1198E5F4" w:rsidR="00086978" w:rsidRPr="00A43068" w:rsidRDefault="00D263B4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GB"/>
        </w:rPr>
      </w:pPr>
      <w:proofErr w:type="spellStart"/>
      <w:r w:rsidRPr="00A43068">
        <w:rPr>
          <w:color w:val="000000" w:themeColor="text1"/>
          <w:sz w:val="24"/>
          <w:szCs w:val="24"/>
          <w:lang w:val="en-GB"/>
        </w:rPr>
        <w:t>Ladent</w:t>
      </w:r>
      <w:proofErr w:type="spellEnd"/>
      <w:r w:rsidRPr="00A43068">
        <w:rPr>
          <w:color w:val="000000" w:themeColor="text1"/>
          <w:sz w:val="24"/>
          <w:szCs w:val="24"/>
          <w:lang w:val="en-GB"/>
        </w:rPr>
        <w:t xml:space="preserve"> v. Poland</w:t>
      </w:r>
      <w:r w:rsidR="00425C1B" w:rsidRPr="00A43068">
        <w:rPr>
          <w:color w:val="000000" w:themeColor="text1"/>
          <w:sz w:val="24"/>
          <w:szCs w:val="24"/>
          <w:lang w:val="en-GB"/>
        </w:rPr>
        <w:t xml:space="preserve">, </w:t>
      </w:r>
      <w:r w:rsidR="00425C1B" w:rsidRPr="00A43068">
        <w:rPr>
          <w:color w:val="000000" w:themeColor="text1"/>
          <w:sz w:val="24"/>
          <w:szCs w:val="24"/>
          <w:lang w:val="en-GB"/>
        </w:rPr>
        <w:t xml:space="preserve">County of Riverside v McLaughlin </w:t>
      </w:r>
      <w:r w:rsidRPr="00A43068">
        <w:rPr>
          <w:color w:val="000000" w:themeColor="text1"/>
          <w:sz w:val="24"/>
          <w:szCs w:val="24"/>
          <w:lang w:val="en-GB"/>
        </w:rPr>
        <w:t xml:space="preserve">– </w:t>
      </w:r>
      <w:r w:rsidR="00086978" w:rsidRPr="00A43068">
        <w:rPr>
          <w:color w:val="000000" w:themeColor="text1"/>
          <w:sz w:val="24"/>
          <w:szCs w:val="24"/>
          <w:lang w:val="en-GB"/>
        </w:rPr>
        <w:t>stop</w:t>
      </w:r>
      <w:r w:rsidRPr="00A43068">
        <w:rPr>
          <w:color w:val="000000" w:themeColor="text1"/>
          <w:sz w:val="24"/>
          <w:szCs w:val="24"/>
          <w:lang w:val="en-GB"/>
        </w:rPr>
        <w:t>, arrest and detention</w:t>
      </w:r>
    </w:p>
    <w:p w14:paraId="71612AF6" w14:textId="48933B6E" w:rsidR="00D263B4" w:rsidRPr="00A43068" w:rsidRDefault="00D263B4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GB"/>
        </w:rPr>
      </w:pPr>
      <w:proofErr w:type="spellStart"/>
      <w:r w:rsidRPr="00A43068">
        <w:rPr>
          <w:color w:val="000000" w:themeColor="text1"/>
          <w:sz w:val="24"/>
          <w:szCs w:val="24"/>
          <w:lang w:val="en-GB"/>
        </w:rPr>
        <w:t>Gafgen</w:t>
      </w:r>
      <w:proofErr w:type="spellEnd"/>
      <w:r w:rsidRPr="00A43068">
        <w:rPr>
          <w:color w:val="000000" w:themeColor="text1"/>
          <w:sz w:val="24"/>
          <w:szCs w:val="24"/>
          <w:lang w:val="en-GB"/>
        </w:rPr>
        <w:t xml:space="preserve"> v. Germany, </w:t>
      </w:r>
      <w:proofErr w:type="spellStart"/>
      <w:r w:rsidRPr="00A43068">
        <w:rPr>
          <w:color w:val="000000" w:themeColor="text1"/>
          <w:sz w:val="24"/>
          <w:szCs w:val="24"/>
          <w:lang w:val="en-GB"/>
        </w:rPr>
        <w:t>Rotaru</w:t>
      </w:r>
      <w:proofErr w:type="spellEnd"/>
      <w:r w:rsidRPr="00A43068">
        <w:rPr>
          <w:color w:val="000000" w:themeColor="text1"/>
          <w:sz w:val="24"/>
          <w:szCs w:val="24"/>
          <w:lang w:val="en-GB"/>
        </w:rPr>
        <w:t xml:space="preserve"> v. Romania, </w:t>
      </w:r>
      <w:r w:rsidR="00425C1B" w:rsidRPr="00A43068">
        <w:rPr>
          <w:color w:val="000000" w:themeColor="text1"/>
          <w:sz w:val="24"/>
          <w:szCs w:val="24"/>
          <w:lang w:val="en-GB"/>
        </w:rPr>
        <w:t>Salinas v Texas</w:t>
      </w:r>
      <w:r w:rsidRPr="00A43068">
        <w:rPr>
          <w:color w:val="000000" w:themeColor="text1"/>
          <w:sz w:val="24"/>
          <w:szCs w:val="24"/>
          <w:lang w:val="en-GB"/>
        </w:rPr>
        <w:t xml:space="preserve"> – illegal evidence, </w:t>
      </w:r>
      <w:r w:rsidR="00086978" w:rsidRPr="00A43068">
        <w:rPr>
          <w:color w:val="000000" w:themeColor="text1"/>
          <w:sz w:val="24"/>
          <w:szCs w:val="24"/>
          <w:lang w:val="en-GB"/>
        </w:rPr>
        <w:t>extra-</w:t>
      </w:r>
      <w:r w:rsidRPr="00A43068">
        <w:rPr>
          <w:color w:val="000000" w:themeColor="text1"/>
          <w:sz w:val="24"/>
          <w:szCs w:val="24"/>
          <w:lang w:val="en-GB"/>
        </w:rPr>
        <w:t xml:space="preserve">procedural means of gathering evidence, invigilation </w:t>
      </w:r>
    </w:p>
    <w:p w14:paraId="3A5E1E52" w14:textId="5F62D57A" w:rsidR="005B4984" w:rsidRPr="00A43068" w:rsidRDefault="00425C1B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GB"/>
        </w:rPr>
      </w:pPr>
      <w:r w:rsidRPr="00A43068">
        <w:rPr>
          <w:color w:val="000000" w:themeColor="text1"/>
          <w:sz w:val="24"/>
          <w:szCs w:val="24"/>
          <w:lang w:val="en-GB"/>
        </w:rPr>
        <w:t>Riley v California</w:t>
      </w:r>
      <w:r w:rsidR="005B4984" w:rsidRPr="00A43068">
        <w:rPr>
          <w:color w:val="000000" w:themeColor="text1"/>
          <w:sz w:val="24"/>
          <w:szCs w:val="24"/>
          <w:lang w:val="en-GB"/>
        </w:rPr>
        <w:t>, Jalloh v. Germany etc. – search and seizure</w:t>
      </w:r>
      <w:r w:rsidR="00A43068" w:rsidRPr="00A43068">
        <w:rPr>
          <w:color w:val="000000" w:themeColor="text1"/>
          <w:sz w:val="24"/>
          <w:szCs w:val="24"/>
          <w:lang w:val="en-GB"/>
        </w:rPr>
        <w:t>, including cell phone search</w:t>
      </w:r>
    </w:p>
    <w:p w14:paraId="774EF8C1" w14:textId="04B699B0" w:rsidR="00D263B4" w:rsidRPr="00A43068" w:rsidRDefault="00D263B4" w:rsidP="00A43068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  <w:sz w:val="24"/>
          <w:szCs w:val="24"/>
          <w:lang w:val="en-GB"/>
        </w:rPr>
      </w:pPr>
      <w:proofErr w:type="spellStart"/>
      <w:r w:rsidRPr="00A43068">
        <w:rPr>
          <w:color w:val="000000" w:themeColor="text1"/>
          <w:sz w:val="24"/>
          <w:szCs w:val="24"/>
          <w:lang w:val="en-GB"/>
        </w:rPr>
        <w:t>Gradinger</w:t>
      </w:r>
      <w:proofErr w:type="spellEnd"/>
      <w:r w:rsidRPr="00A43068">
        <w:rPr>
          <w:color w:val="000000" w:themeColor="text1"/>
          <w:sz w:val="24"/>
          <w:szCs w:val="24"/>
          <w:lang w:val="en-GB"/>
        </w:rPr>
        <w:t xml:space="preserve"> v. Switzerland, </w:t>
      </w:r>
      <w:proofErr w:type="spellStart"/>
      <w:r w:rsidRPr="00A43068">
        <w:rPr>
          <w:color w:val="000000" w:themeColor="text1"/>
          <w:sz w:val="24"/>
          <w:szCs w:val="24"/>
          <w:lang w:val="en-GB"/>
        </w:rPr>
        <w:t>Zolotukhin</w:t>
      </w:r>
      <w:proofErr w:type="spellEnd"/>
      <w:r w:rsidRPr="00A43068">
        <w:rPr>
          <w:color w:val="000000" w:themeColor="text1"/>
          <w:sz w:val="24"/>
          <w:szCs w:val="24"/>
          <w:lang w:val="en-GB"/>
        </w:rPr>
        <w:t xml:space="preserve"> v. Russia, A and B vs. Norway case etc. – </w:t>
      </w:r>
      <w:r w:rsidRPr="00A43068">
        <w:rPr>
          <w:i/>
          <w:iCs/>
          <w:color w:val="000000" w:themeColor="text1"/>
          <w:sz w:val="24"/>
          <w:szCs w:val="24"/>
          <w:lang w:val="en-GB"/>
        </w:rPr>
        <w:t>ne bis in idem</w:t>
      </w:r>
      <w:r w:rsidRPr="00A43068">
        <w:rPr>
          <w:color w:val="000000" w:themeColor="text1"/>
          <w:sz w:val="24"/>
          <w:szCs w:val="24"/>
          <w:lang w:val="en-GB"/>
        </w:rPr>
        <w:t xml:space="preserve"> rule</w:t>
      </w:r>
    </w:p>
    <w:p w14:paraId="57C4D0FE" w14:textId="77777777" w:rsidR="005B4984" w:rsidRPr="00A43068" w:rsidRDefault="005B4984" w:rsidP="00A43068">
      <w:pPr>
        <w:spacing w:line="360" w:lineRule="auto"/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6362674E" w14:textId="07C8EBE1" w:rsidR="00C551CD" w:rsidRPr="00A43068" w:rsidRDefault="005B4984" w:rsidP="00A43068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  <w:lang w:val="en-US"/>
        </w:rPr>
      </w:pPr>
      <w:r w:rsidRPr="00A43068">
        <w:rPr>
          <w:b/>
          <w:color w:val="000000" w:themeColor="text1"/>
          <w:sz w:val="24"/>
          <w:szCs w:val="24"/>
          <w:lang w:val="en-GB"/>
        </w:rPr>
        <w:t>Materials for the purpose of passing classes:</w:t>
      </w:r>
    </w:p>
    <w:p w14:paraId="5121F40D" w14:textId="2444A67A" w:rsidR="00E21CF9" w:rsidRPr="00A43068" w:rsidRDefault="00C551CD" w:rsidP="00A43068">
      <w:pPr>
        <w:pStyle w:val="Akapitzlist"/>
        <w:numPr>
          <w:ilvl w:val="0"/>
          <w:numId w:val="23"/>
        </w:num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  <w:r w:rsidRPr="00A43068">
        <w:rPr>
          <w:color w:val="000000" w:themeColor="text1"/>
          <w:sz w:val="24"/>
          <w:szCs w:val="24"/>
          <w:lang w:val="en-US"/>
        </w:rPr>
        <w:t>provided by lecturer</w:t>
      </w:r>
    </w:p>
    <w:p w14:paraId="1E9C72F6" w14:textId="44910E72" w:rsidR="00E21CF9" w:rsidRPr="00A43068" w:rsidRDefault="005B4984" w:rsidP="00A43068">
      <w:pPr>
        <w:pStyle w:val="Akapitzlist"/>
        <w:numPr>
          <w:ilvl w:val="0"/>
          <w:numId w:val="23"/>
        </w:num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  <w:r w:rsidRPr="00A43068">
        <w:rPr>
          <w:color w:val="000000" w:themeColor="text1"/>
          <w:sz w:val="24"/>
          <w:szCs w:val="24"/>
          <w:lang w:val="en-US"/>
        </w:rPr>
        <w:t>full texts of all discussed judgments</w:t>
      </w:r>
    </w:p>
    <w:p w14:paraId="72007A6F" w14:textId="77777777" w:rsidR="00C551CD" w:rsidRPr="00A43068" w:rsidRDefault="00C551CD" w:rsidP="00A43068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  <w:lang w:val="en-US"/>
        </w:rPr>
      </w:pPr>
    </w:p>
    <w:p w14:paraId="6A79559B" w14:textId="77777777" w:rsidR="0089491E" w:rsidRPr="00A43068" w:rsidRDefault="0089491E" w:rsidP="00A43068">
      <w:pPr>
        <w:spacing w:line="360" w:lineRule="auto"/>
        <w:jc w:val="both"/>
        <w:rPr>
          <w:b/>
          <w:color w:val="000000" w:themeColor="text1"/>
          <w:sz w:val="24"/>
          <w:szCs w:val="24"/>
          <w:lang w:val="en-CA"/>
        </w:rPr>
      </w:pPr>
      <w:r w:rsidRPr="00A43068">
        <w:rPr>
          <w:b/>
          <w:color w:val="000000" w:themeColor="text1"/>
          <w:sz w:val="24"/>
          <w:szCs w:val="24"/>
          <w:lang w:val="en-CA"/>
        </w:rPr>
        <w:t>Academic Fraud:</w:t>
      </w:r>
    </w:p>
    <w:p w14:paraId="4BD612D2" w14:textId="6128DBF4" w:rsidR="0089491E" w:rsidRPr="00A43068" w:rsidRDefault="0089491E" w:rsidP="00A43068">
      <w:pPr>
        <w:spacing w:line="360" w:lineRule="auto"/>
        <w:jc w:val="both"/>
        <w:rPr>
          <w:color w:val="000000" w:themeColor="text1"/>
          <w:sz w:val="24"/>
          <w:szCs w:val="24"/>
          <w:lang w:val="en-CA"/>
        </w:rPr>
      </w:pPr>
      <w:r w:rsidRPr="00A43068">
        <w:rPr>
          <w:color w:val="000000" w:themeColor="text1"/>
          <w:sz w:val="24"/>
          <w:szCs w:val="24"/>
          <w:lang w:val="en-CA"/>
        </w:rPr>
        <w:t xml:space="preserve">Students are reminded of the rules on academic fraud. All instances of fraud will be reported for investigation and sanction. </w:t>
      </w:r>
      <w:r w:rsidR="005B4984" w:rsidRPr="00A43068">
        <w:rPr>
          <w:color w:val="000000" w:themeColor="text1"/>
          <w:sz w:val="24"/>
          <w:szCs w:val="24"/>
          <w:lang w:val="en-CA"/>
        </w:rPr>
        <w:t>Every presented piece</w:t>
      </w:r>
      <w:r w:rsidRPr="00A43068">
        <w:rPr>
          <w:b/>
          <w:color w:val="000000" w:themeColor="text1"/>
          <w:sz w:val="24"/>
          <w:szCs w:val="24"/>
          <w:lang w:val="en-CA"/>
        </w:rPr>
        <w:t xml:space="preserve"> must be your own work.</w:t>
      </w:r>
      <w:r w:rsidRPr="00A43068">
        <w:rPr>
          <w:color w:val="000000" w:themeColor="text1"/>
          <w:sz w:val="24"/>
          <w:szCs w:val="24"/>
          <w:lang w:val="en-CA"/>
        </w:rPr>
        <w:t xml:space="preserve"> Please be careful while citing materials – always provide the relevant citation of all sources including those available online. However, you are welcome to use all available materials (</w:t>
      </w:r>
      <w:r w:rsidR="00F67B78" w:rsidRPr="00A43068">
        <w:rPr>
          <w:color w:val="000000" w:themeColor="text1"/>
          <w:sz w:val="24"/>
          <w:szCs w:val="24"/>
          <w:lang w:val="en-CA"/>
        </w:rPr>
        <w:t xml:space="preserve">law, case-law, </w:t>
      </w:r>
      <w:r w:rsidRPr="00A43068">
        <w:rPr>
          <w:color w:val="000000" w:themeColor="text1"/>
          <w:sz w:val="24"/>
          <w:szCs w:val="24"/>
          <w:lang w:val="en-CA"/>
        </w:rPr>
        <w:t xml:space="preserve">books, </w:t>
      </w:r>
      <w:r w:rsidR="00F67B78" w:rsidRPr="00A43068">
        <w:rPr>
          <w:color w:val="000000" w:themeColor="text1"/>
          <w:sz w:val="24"/>
          <w:szCs w:val="24"/>
          <w:lang w:val="en-CA"/>
        </w:rPr>
        <w:t xml:space="preserve">articles, </w:t>
      </w:r>
      <w:r w:rsidRPr="00A43068">
        <w:rPr>
          <w:color w:val="000000" w:themeColor="text1"/>
          <w:sz w:val="24"/>
          <w:szCs w:val="24"/>
          <w:lang w:val="en-CA"/>
        </w:rPr>
        <w:t xml:space="preserve">course materials etc. – </w:t>
      </w:r>
      <w:r w:rsidRPr="00A43068">
        <w:rPr>
          <w:b/>
          <w:bCs/>
          <w:color w:val="000000" w:themeColor="text1"/>
          <w:sz w:val="24"/>
          <w:szCs w:val="24"/>
          <w:lang w:val="en-CA"/>
        </w:rPr>
        <w:t>just cite them properly</w:t>
      </w:r>
      <w:r w:rsidRPr="00A43068">
        <w:rPr>
          <w:color w:val="000000" w:themeColor="text1"/>
          <w:sz w:val="24"/>
          <w:szCs w:val="24"/>
          <w:lang w:val="en-CA"/>
        </w:rPr>
        <w:t>).</w:t>
      </w:r>
    </w:p>
    <w:p w14:paraId="6E9CD143" w14:textId="77777777" w:rsidR="003B56D4" w:rsidRPr="00A43068" w:rsidRDefault="003B56D4" w:rsidP="00A43068">
      <w:pPr>
        <w:pStyle w:val="Bezodstpw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1114E26A" w14:textId="3EE9AFAF" w:rsidR="00F67B78" w:rsidRPr="00A43068" w:rsidRDefault="005B4984" w:rsidP="00A43068">
      <w:pPr>
        <w:pStyle w:val="Bezodstpw"/>
        <w:rPr>
          <w:rFonts w:ascii="Times New Roman" w:hAnsi="Times New Roman"/>
          <w:b/>
          <w:bCs/>
          <w:color w:val="000000" w:themeColor="text1"/>
          <w:szCs w:val="24"/>
        </w:rPr>
      </w:pPr>
      <w:r w:rsidRPr="00A43068">
        <w:rPr>
          <w:rFonts w:ascii="Times New Roman" w:hAnsi="Times New Roman"/>
          <w:b/>
          <w:bCs/>
          <w:color w:val="000000" w:themeColor="text1"/>
          <w:szCs w:val="24"/>
        </w:rPr>
        <w:t>Covid-19 precautions:</w:t>
      </w:r>
    </w:p>
    <w:p w14:paraId="26059974" w14:textId="4916901B" w:rsidR="005B4984" w:rsidRPr="00A43068" w:rsidRDefault="005B4984" w:rsidP="00A43068">
      <w:pPr>
        <w:pStyle w:val="Bezodstpw"/>
        <w:rPr>
          <w:rFonts w:ascii="Times New Roman" w:hAnsi="Times New Roman"/>
          <w:color w:val="000000" w:themeColor="text1"/>
          <w:szCs w:val="24"/>
          <w:lang w:val="en-GB"/>
        </w:rPr>
      </w:pPr>
      <w:r w:rsidRPr="00A43068">
        <w:rPr>
          <w:rFonts w:ascii="Times New Roman" w:hAnsi="Times New Roman"/>
          <w:color w:val="000000" w:themeColor="text1"/>
          <w:szCs w:val="24"/>
        </w:rPr>
        <w:t xml:space="preserve">During onsite classes it is mandatory – under  Ordinance no. 37/2021 of the Rector of the University of </w:t>
      </w:r>
      <w:proofErr w:type="spellStart"/>
      <w:r w:rsidRPr="00A43068">
        <w:rPr>
          <w:rFonts w:ascii="Times New Roman" w:hAnsi="Times New Roman"/>
          <w:color w:val="000000" w:themeColor="text1"/>
          <w:szCs w:val="24"/>
        </w:rPr>
        <w:t>Wrocław</w:t>
      </w:r>
      <w:proofErr w:type="spellEnd"/>
      <w:r w:rsidRPr="00A43068">
        <w:rPr>
          <w:rFonts w:ascii="Times New Roman" w:hAnsi="Times New Roman"/>
          <w:color w:val="000000" w:themeColor="text1"/>
          <w:szCs w:val="24"/>
        </w:rPr>
        <w:t xml:space="preserve"> of 22 March 2021 on the principles of the operation of the University of </w:t>
      </w:r>
      <w:proofErr w:type="spellStart"/>
      <w:r w:rsidRPr="00A43068">
        <w:rPr>
          <w:rFonts w:ascii="Times New Roman" w:hAnsi="Times New Roman"/>
          <w:color w:val="000000" w:themeColor="text1"/>
          <w:szCs w:val="24"/>
        </w:rPr>
        <w:t>Wrocław</w:t>
      </w:r>
      <w:proofErr w:type="spellEnd"/>
      <w:r w:rsidRPr="00A43068">
        <w:rPr>
          <w:rFonts w:ascii="Times New Roman" w:hAnsi="Times New Roman"/>
          <w:color w:val="000000" w:themeColor="text1"/>
          <w:szCs w:val="24"/>
        </w:rPr>
        <w:t xml:space="preserve"> in connection with the occurrence of the COVID-19 epidemic – to cover </w:t>
      </w:r>
      <w:r w:rsidRPr="00A43068">
        <w:rPr>
          <w:rFonts w:ascii="Times New Roman" w:hAnsi="Times New Roman"/>
          <w:b/>
          <w:bCs/>
          <w:color w:val="000000" w:themeColor="text1"/>
          <w:szCs w:val="24"/>
        </w:rPr>
        <w:t>mouth</w:t>
      </w:r>
      <w:r w:rsidRPr="00A43068">
        <w:rPr>
          <w:rFonts w:ascii="Times New Roman" w:hAnsi="Times New Roman"/>
          <w:color w:val="000000" w:themeColor="text1"/>
          <w:szCs w:val="24"/>
        </w:rPr>
        <w:t xml:space="preserve"> </w:t>
      </w:r>
      <w:r w:rsidRPr="00A43068">
        <w:rPr>
          <w:rFonts w:ascii="Times New Roman" w:hAnsi="Times New Roman"/>
          <w:b/>
          <w:bCs/>
          <w:color w:val="000000" w:themeColor="text1"/>
          <w:szCs w:val="24"/>
          <w:u w:val="single"/>
        </w:rPr>
        <w:t>and nose</w:t>
      </w:r>
      <w:r w:rsidRPr="00A43068">
        <w:rPr>
          <w:rFonts w:ascii="Times New Roman" w:hAnsi="Times New Roman"/>
          <w:color w:val="000000" w:themeColor="text1"/>
          <w:szCs w:val="24"/>
        </w:rPr>
        <w:t xml:space="preserve"> with a </w:t>
      </w:r>
      <w:r w:rsidRPr="00A43068">
        <w:rPr>
          <w:rFonts w:ascii="Times New Roman" w:hAnsi="Times New Roman"/>
          <w:b/>
          <w:bCs/>
          <w:color w:val="000000" w:themeColor="text1"/>
          <w:szCs w:val="24"/>
        </w:rPr>
        <w:t>face mask</w:t>
      </w:r>
      <w:r w:rsidRPr="00A43068">
        <w:rPr>
          <w:rFonts w:ascii="Times New Roman" w:hAnsi="Times New Roman"/>
          <w:color w:val="000000" w:themeColor="text1"/>
          <w:szCs w:val="24"/>
        </w:rPr>
        <w:t xml:space="preserve"> by both students and the teacher. </w:t>
      </w:r>
      <w:r w:rsidRPr="00A43068">
        <w:rPr>
          <w:rFonts w:ascii="Times New Roman" w:hAnsi="Times New Roman"/>
          <w:color w:val="000000" w:themeColor="text1"/>
          <w:szCs w:val="24"/>
          <w:lang w:val="en-GB"/>
        </w:rPr>
        <w:t xml:space="preserve">Under § 1 (10) of this Ordinance, the teacher may – after </w:t>
      </w:r>
      <w:r w:rsidR="001F7D80" w:rsidRPr="00A43068">
        <w:rPr>
          <w:rFonts w:ascii="Times New Roman" w:hAnsi="Times New Roman"/>
          <w:color w:val="000000" w:themeColor="text1"/>
          <w:szCs w:val="24"/>
          <w:lang w:val="en-GB"/>
        </w:rPr>
        <w:t xml:space="preserve">previous reminder – ask a person who is not complying </w:t>
      </w:r>
      <w:r w:rsidR="00802D1D" w:rsidRPr="00A43068">
        <w:rPr>
          <w:rFonts w:ascii="Times New Roman" w:hAnsi="Times New Roman"/>
          <w:color w:val="000000" w:themeColor="text1"/>
          <w:szCs w:val="24"/>
          <w:lang w:val="en-GB"/>
        </w:rPr>
        <w:lastRenderedPageBreak/>
        <w:t xml:space="preserve">e.g. </w:t>
      </w:r>
      <w:r w:rsidR="001F7D80" w:rsidRPr="00A43068">
        <w:rPr>
          <w:rFonts w:ascii="Times New Roman" w:hAnsi="Times New Roman"/>
          <w:color w:val="000000" w:themeColor="text1"/>
          <w:szCs w:val="24"/>
          <w:lang w:val="en-GB"/>
        </w:rPr>
        <w:t>to the said rule to leave the building. In such a case, the absence will be considered as unjustified.</w:t>
      </w:r>
    </w:p>
    <w:p w14:paraId="073D6F2C" w14:textId="77777777" w:rsidR="005B4984" w:rsidRPr="00A43068" w:rsidRDefault="005B4984" w:rsidP="00A43068">
      <w:pPr>
        <w:pStyle w:val="Bezodstpw"/>
        <w:rPr>
          <w:rFonts w:ascii="Times New Roman" w:hAnsi="Times New Roman"/>
          <w:b/>
          <w:bCs/>
          <w:color w:val="000000" w:themeColor="text1"/>
          <w:szCs w:val="24"/>
          <w:lang w:val="en-GB"/>
        </w:rPr>
      </w:pPr>
    </w:p>
    <w:p w14:paraId="693EC5B6" w14:textId="407F5AB6" w:rsidR="0089491E" w:rsidRPr="00A43068" w:rsidRDefault="00A43068" w:rsidP="00A43068">
      <w:pPr>
        <w:pStyle w:val="Bezodstpw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 xml:space="preserve">Grading </w:t>
      </w:r>
      <w:r w:rsidR="0089491E" w:rsidRPr="00A43068">
        <w:rPr>
          <w:rFonts w:ascii="Times New Roman" w:hAnsi="Times New Roman"/>
          <w:b/>
          <w:bCs/>
          <w:color w:val="000000" w:themeColor="text1"/>
          <w:szCs w:val="24"/>
        </w:rPr>
        <w:t>Guidelines:</w:t>
      </w:r>
    </w:p>
    <w:p w14:paraId="1554A352" w14:textId="187C2CD8" w:rsidR="001F7D80" w:rsidRPr="00A43068" w:rsidRDefault="001F7D80" w:rsidP="00A43068">
      <w:pPr>
        <w:pStyle w:val="Bezodstpw"/>
        <w:numPr>
          <w:ilvl w:val="0"/>
          <w:numId w:val="21"/>
        </w:numPr>
        <w:rPr>
          <w:rFonts w:ascii="Times New Roman" w:hAnsi="Times New Roman"/>
          <w:color w:val="000000" w:themeColor="text1"/>
          <w:szCs w:val="24"/>
        </w:rPr>
      </w:pPr>
      <w:r w:rsidRPr="00A43068">
        <w:rPr>
          <w:rFonts w:ascii="Times New Roman" w:hAnsi="Times New Roman"/>
          <w:color w:val="000000" w:themeColor="text1"/>
          <w:szCs w:val="24"/>
        </w:rPr>
        <w:t>student has a right to one unjustified absence per term. Every other unjustified absence lower the final grade by 0.</w:t>
      </w:r>
      <w:r w:rsidR="00D84AF0" w:rsidRPr="00A43068">
        <w:rPr>
          <w:rFonts w:ascii="Times New Roman" w:hAnsi="Times New Roman"/>
          <w:color w:val="000000" w:themeColor="text1"/>
          <w:szCs w:val="24"/>
        </w:rPr>
        <w:t>5 of the grade</w:t>
      </w:r>
    </w:p>
    <w:p w14:paraId="7C3442AC" w14:textId="77777777" w:rsidR="001F7D80" w:rsidRPr="00A43068" w:rsidRDefault="001F7D80" w:rsidP="00A43068">
      <w:pPr>
        <w:pStyle w:val="Bezodstpw"/>
        <w:numPr>
          <w:ilvl w:val="0"/>
          <w:numId w:val="21"/>
        </w:numPr>
        <w:rPr>
          <w:rFonts w:ascii="Times New Roman" w:hAnsi="Times New Roman"/>
          <w:color w:val="000000" w:themeColor="text1"/>
          <w:szCs w:val="24"/>
        </w:rPr>
      </w:pPr>
      <w:r w:rsidRPr="00A43068">
        <w:rPr>
          <w:rFonts w:ascii="Times New Roman" w:hAnsi="Times New Roman"/>
          <w:color w:val="000000" w:themeColor="text1"/>
          <w:szCs w:val="24"/>
        </w:rPr>
        <w:t>the online classes take place synchronically on Teams</w:t>
      </w:r>
    </w:p>
    <w:p w14:paraId="5EF3A850" w14:textId="3DAD5043" w:rsidR="001F7D80" w:rsidRPr="00A43068" w:rsidRDefault="001F7D80" w:rsidP="00A43068">
      <w:pPr>
        <w:pStyle w:val="Bezodstpw"/>
        <w:numPr>
          <w:ilvl w:val="0"/>
          <w:numId w:val="21"/>
        </w:numPr>
        <w:rPr>
          <w:rFonts w:ascii="Times New Roman" w:hAnsi="Times New Roman"/>
          <w:color w:val="000000" w:themeColor="text1"/>
          <w:szCs w:val="24"/>
        </w:rPr>
      </w:pPr>
      <w:r w:rsidRPr="00A43068">
        <w:rPr>
          <w:rFonts w:ascii="Times New Roman" w:hAnsi="Times New Roman"/>
          <w:color w:val="000000" w:themeColor="text1"/>
          <w:szCs w:val="24"/>
        </w:rPr>
        <w:t>the grade is based on an individual presentation of a chosen judgment/case; general activity is also taken into account</w:t>
      </w:r>
    </w:p>
    <w:p w14:paraId="65045870" w14:textId="4E267A12" w:rsidR="00A005E5" w:rsidRPr="00A43068" w:rsidRDefault="00D84AF0" w:rsidP="00A43068">
      <w:pPr>
        <w:pStyle w:val="Bezodstpw"/>
        <w:numPr>
          <w:ilvl w:val="0"/>
          <w:numId w:val="21"/>
        </w:numPr>
        <w:rPr>
          <w:rFonts w:ascii="Times New Roman" w:hAnsi="Times New Roman"/>
          <w:color w:val="000000" w:themeColor="text1"/>
          <w:szCs w:val="24"/>
        </w:rPr>
      </w:pPr>
      <w:r w:rsidRPr="00A43068">
        <w:rPr>
          <w:rFonts w:ascii="Times New Roman" w:hAnsi="Times New Roman"/>
          <w:color w:val="000000" w:themeColor="text1"/>
          <w:szCs w:val="24"/>
        </w:rPr>
        <w:t>the basis for the grade is the same if classes end onsite or online</w:t>
      </w:r>
    </w:p>
    <w:sectPr w:rsidR="00A005E5" w:rsidRPr="00A43068" w:rsidSect="0048393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2CE0" w14:textId="77777777" w:rsidR="00EC0EEC" w:rsidRDefault="00EC0EEC" w:rsidP="000656F7">
      <w:r>
        <w:separator/>
      </w:r>
    </w:p>
  </w:endnote>
  <w:endnote w:type="continuationSeparator" w:id="0">
    <w:p w14:paraId="7724120A" w14:textId="77777777" w:rsidR="00EC0EEC" w:rsidRDefault="00EC0EEC" w:rsidP="0006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C59" w14:textId="77777777" w:rsidR="000656F7" w:rsidRDefault="00341F48" w:rsidP="00DF22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56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D15E87" w14:textId="77777777" w:rsidR="000656F7" w:rsidRDefault="000656F7" w:rsidP="000656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2EA2" w14:textId="77777777" w:rsidR="000656F7" w:rsidRDefault="00341F48" w:rsidP="00DF22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56F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7C3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12DA23" w14:textId="77777777" w:rsidR="000656F7" w:rsidRDefault="000656F7" w:rsidP="000656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7F3F" w14:textId="77777777" w:rsidR="00EC0EEC" w:rsidRDefault="00EC0EEC" w:rsidP="000656F7">
      <w:r>
        <w:separator/>
      </w:r>
    </w:p>
  </w:footnote>
  <w:footnote w:type="continuationSeparator" w:id="0">
    <w:p w14:paraId="57BBC99C" w14:textId="77777777" w:rsidR="00EC0EEC" w:rsidRDefault="00EC0EEC" w:rsidP="0006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C9A"/>
    <w:multiLevelType w:val="hybridMultilevel"/>
    <w:tmpl w:val="6136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7636"/>
    <w:multiLevelType w:val="hybridMultilevel"/>
    <w:tmpl w:val="A976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01C0"/>
    <w:multiLevelType w:val="hybridMultilevel"/>
    <w:tmpl w:val="92A44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A1D"/>
    <w:multiLevelType w:val="hybridMultilevel"/>
    <w:tmpl w:val="09B48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487AC5"/>
    <w:multiLevelType w:val="hybridMultilevel"/>
    <w:tmpl w:val="8334CECC"/>
    <w:lvl w:ilvl="0" w:tplc="00CCFB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16F0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A052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E075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02C2B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24CC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6BAEE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3C4B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888C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0242F"/>
    <w:multiLevelType w:val="hybridMultilevel"/>
    <w:tmpl w:val="C66A5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C2BF4"/>
    <w:multiLevelType w:val="hybridMultilevel"/>
    <w:tmpl w:val="B48270EA"/>
    <w:lvl w:ilvl="0" w:tplc="ACCEF174">
      <w:start w:val="2"/>
      <w:numFmt w:val="bullet"/>
      <w:lvlText w:val="-"/>
      <w:lvlJc w:val="left"/>
      <w:pPr>
        <w:ind w:left="420" w:hanging="360"/>
      </w:pPr>
      <w:rPr>
        <w:rFonts w:ascii="Garamond" w:eastAsiaTheme="minorHAnsi" w:hAnsi="Garamond" w:cs="Calibri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1379BA"/>
    <w:multiLevelType w:val="hybridMultilevel"/>
    <w:tmpl w:val="57745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7287A"/>
    <w:multiLevelType w:val="hybridMultilevel"/>
    <w:tmpl w:val="BB507D1A"/>
    <w:lvl w:ilvl="0" w:tplc="4DA64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342C70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727DC"/>
    <w:multiLevelType w:val="hybridMultilevel"/>
    <w:tmpl w:val="DD267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D51812"/>
    <w:multiLevelType w:val="hybridMultilevel"/>
    <w:tmpl w:val="42308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66BBF"/>
    <w:multiLevelType w:val="hybridMultilevel"/>
    <w:tmpl w:val="A87AD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16F0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A052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E075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02C2B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24CC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6BAEE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3C4B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888C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F21C36"/>
    <w:multiLevelType w:val="hybridMultilevel"/>
    <w:tmpl w:val="77D21AC2"/>
    <w:lvl w:ilvl="0" w:tplc="E54E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B4972"/>
    <w:multiLevelType w:val="hybridMultilevel"/>
    <w:tmpl w:val="C58A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5D1B"/>
    <w:multiLevelType w:val="hybridMultilevel"/>
    <w:tmpl w:val="20FCC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5F0333"/>
    <w:multiLevelType w:val="hybridMultilevel"/>
    <w:tmpl w:val="F5509C26"/>
    <w:lvl w:ilvl="0" w:tplc="4DA64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058EA"/>
    <w:multiLevelType w:val="hybridMultilevel"/>
    <w:tmpl w:val="AAE0F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66608"/>
    <w:multiLevelType w:val="hybridMultilevel"/>
    <w:tmpl w:val="44FE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A0699"/>
    <w:multiLevelType w:val="hybridMultilevel"/>
    <w:tmpl w:val="8334CECC"/>
    <w:lvl w:ilvl="0" w:tplc="00CCFB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16F0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A052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E075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02C2B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24CC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6BAEE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3C4B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888C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74886"/>
    <w:multiLevelType w:val="hybridMultilevel"/>
    <w:tmpl w:val="1110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13580F"/>
    <w:multiLevelType w:val="hybridMultilevel"/>
    <w:tmpl w:val="EDCC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D790A"/>
    <w:multiLevelType w:val="hybridMultilevel"/>
    <w:tmpl w:val="9D8EE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F55154"/>
    <w:multiLevelType w:val="hybridMultilevel"/>
    <w:tmpl w:val="7A347F66"/>
    <w:lvl w:ilvl="0" w:tplc="EF843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88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E69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056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A10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02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66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84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8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B1C3420"/>
    <w:multiLevelType w:val="hybridMultilevel"/>
    <w:tmpl w:val="C93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0985"/>
    <w:multiLevelType w:val="hybridMultilevel"/>
    <w:tmpl w:val="AD2E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84EE0"/>
    <w:multiLevelType w:val="hybridMultilevel"/>
    <w:tmpl w:val="6A34CB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A047E0"/>
    <w:multiLevelType w:val="hybridMultilevel"/>
    <w:tmpl w:val="387C34AC"/>
    <w:lvl w:ilvl="0" w:tplc="4DA64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8"/>
  </w:num>
  <w:num w:numId="4">
    <w:abstractNumId w:val="16"/>
  </w:num>
  <w:num w:numId="5">
    <w:abstractNumId w:val="15"/>
  </w:num>
  <w:num w:numId="6">
    <w:abstractNumId w:val="8"/>
  </w:num>
  <w:num w:numId="7">
    <w:abstractNumId w:val="26"/>
  </w:num>
  <w:num w:numId="8">
    <w:abstractNumId w:val="0"/>
  </w:num>
  <w:num w:numId="9">
    <w:abstractNumId w:val="13"/>
  </w:num>
  <w:num w:numId="10">
    <w:abstractNumId w:val="4"/>
  </w:num>
  <w:num w:numId="11">
    <w:abstractNumId w:val="22"/>
  </w:num>
  <w:num w:numId="12">
    <w:abstractNumId w:val="23"/>
  </w:num>
  <w:num w:numId="13">
    <w:abstractNumId w:val="5"/>
  </w:num>
  <w:num w:numId="14">
    <w:abstractNumId w:val="25"/>
  </w:num>
  <w:num w:numId="15">
    <w:abstractNumId w:val="21"/>
  </w:num>
  <w:num w:numId="16">
    <w:abstractNumId w:val="12"/>
  </w:num>
  <w:num w:numId="17">
    <w:abstractNumId w:val="11"/>
  </w:num>
  <w:num w:numId="18">
    <w:abstractNumId w:val="10"/>
  </w:num>
  <w:num w:numId="19">
    <w:abstractNumId w:val="20"/>
  </w:num>
  <w:num w:numId="20">
    <w:abstractNumId w:val="19"/>
  </w:num>
  <w:num w:numId="21">
    <w:abstractNumId w:val="9"/>
  </w:num>
  <w:num w:numId="22">
    <w:abstractNumId w:val="3"/>
  </w:num>
  <w:num w:numId="23">
    <w:abstractNumId w:val="14"/>
  </w:num>
  <w:num w:numId="24">
    <w:abstractNumId w:val="17"/>
  </w:num>
  <w:num w:numId="25">
    <w:abstractNumId w:val="6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BA4"/>
    <w:rsid w:val="00035669"/>
    <w:rsid w:val="0004245B"/>
    <w:rsid w:val="00060223"/>
    <w:rsid w:val="000656F7"/>
    <w:rsid w:val="000705F1"/>
    <w:rsid w:val="00084025"/>
    <w:rsid w:val="00086978"/>
    <w:rsid w:val="000C708C"/>
    <w:rsid w:val="0010228E"/>
    <w:rsid w:val="00107563"/>
    <w:rsid w:val="001608F6"/>
    <w:rsid w:val="001C607C"/>
    <w:rsid w:val="001F7D80"/>
    <w:rsid w:val="0020714F"/>
    <w:rsid w:val="00212FE7"/>
    <w:rsid w:val="0024783F"/>
    <w:rsid w:val="002C0ADC"/>
    <w:rsid w:val="002C4FEA"/>
    <w:rsid w:val="002D5BD1"/>
    <w:rsid w:val="002D782C"/>
    <w:rsid w:val="0031274A"/>
    <w:rsid w:val="00336A9A"/>
    <w:rsid w:val="00341F48"/>
    <w:rsid w:val="003B56D4"/>
    <w:rsid w:val="00402DAA"/>
    <w:rsid w:val="004155BC"/>
    <w:rsid w:val="004157BF"/>
    <w:rsid w:val="004178DD"/>
    <w:rsid w:val="00417CE2"/>
    <w:rsid w:val="00423811"/>
    <w:rsid w:val="004245EF"/>
    <w:rsid w:val="00425C1B"/>
    <w:rsid w:val="0044616E"/>
    <w:rsid w:val="0045427A"/>
    <w:rsid w:val="0048393C"/>
    <w:rsid w:val="00494E4A"/>
    <w:rsid w:val="004952A2"/>
    <w:rsid w:val="004A2E96"/>
    <w:rsid w:val="004D1C18"/>
    <w:rsid w:val="004E022F"/>
    <w:rsid w:val="00537C30"/>
    <w:rsid w:val="005656B3"/>
    <w:rsid w:val="00587A97"/>
    <w:rsid w:val="005B4984"/>
    <w:rsid w:val="00650BB9"/>
    <w:rsid w:val="006A1CB5"/>
    <w:rsid w:val="006A1D2A"/>
    <w:rsid w:val="006B57DB"/>
    <w:rsid w:val="0070527C"/>
    <w:rsid w:val="007137FA"/>
    <w:rsid w:val="007346F7"/>
    <w:rsid w:val="0079151C"/>
    <w:rsid w:val="00795DAD"/>
    <w:rsid w:val="007D5189"/>
    <w:rsid w:val="00802D1D"/>
    <w:rsid w:val="00810511"/>
    <w:rsid w:val="00816583"/>
    <w:rsid w:val="00825988"/>
    <w:rsid w:val="00846F04"/>
    <w:rsid w:val="00867748"/>
    <w:rsid w:val="00872C12"/>
    <w:rsid w:val="0089491E"/>
    <w:rsid w:val="008E3BA4"/>
    <w:rsid w:val="00903822"/>
    <w:rsid w:val="0092367C"/>
    <w:rsid w:val="009538BF"/>
    <w:rsid w:val="00960124"/>
    <w:rsid w:val="0098199E"/>
    <w:rsid w:val="009F279A"/>
    <w:rsid w:val="00A005E5"/>
    <w:rsid w:val="00A14C4C"/>
    <w:rsid w:val="00A16CAF"/>
    <w:rsid w:val="00A43068"/>
    <w:rsid w:val="00A72D90"/>
    <w:rsid w:val="00A9634C"/>
    <w:rsid w:val="00AA24A4"/>
    <w:rsid w:val="00AE613F"/>
    <w:rsid w:val="00B40959"/>
    <w:rsid w:val="00BA1FA3"/>
    <w:rsid w:val="00C50569"/>
    <w:rsid w:val="00C53F5D"/>
    <w:rsid w:val="00C551CD"/>
    <w:rsid w:val="00C81D82"/>
    <w:rsid w:val="00C87102"/>
    <w:rsid w:val="00C92761"/>
    <w:rsid w:val="00C96A9B"/>
    <w:rsid w:val="00CA7A54"/>
    <w:rsid w:val="00CC2836"/>
    <w:rsid w:val="00CF50C0"/>
    <w:rsid w:val="00D263B4"/>
    <w:rsid w:val="00D431FD"/>
    <w:rsid w:val="00D84AF0"/>
    <w:rsid w:val="00DA2CB9"/>
    <w:rsid w:val="00E13170"/>
    <w:rsid w:val="00E17E31"/>
    <w:rsid w:val="00E21CF9"/>
    <w:rsid w:val="00E21F4E"/>
    <w:rsid w:val="00E246F8"/>
    <w:rsid w:val="00E976DE"/>
    <w:rsid w:val="00EA19CC"/>
    <w:rsid w:val="00EC0EEC"/>
    <w:rsid w:val="00ED7A3A"/>
    <w:rsid w:val="00F25D12"/>
    <w:rsid w:val="00F67027"/>
    <w:rsid w:val="00F679EB"/>
    <w:rsid w:val="00F67B78"/>
    <w:rsid w:val="00FA15B8"/>
    <w:rsid w:val="00FC5087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05F0D"/>
  <w15:docId w15:val="{2BFB80C8-A5BC-4B95-BE0D-F903AC2A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333333"/>
        <w:sz w:val="22"/>
        <w:szCs w:val="22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7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67C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67C"/>
    <w:rPr>
      <w:rFonts w:ascii="Lucida Grande" w:hAnsi="Lucida Grande" w:cs="Lucida Grande"/>
      <w:sz w:val="18"/>
      <w:szCs w:val="18"/>
      <w:lang w:val="pl-PL"/>
    </w:rPr>
  </w:style>
  <w:style w:type="character" w:customStyle="1" w:styleId="apple-converted-space">
    <w:name w:val="apple-converted-space"/>
    <w:basedOn w:val="Domylnaczcionkaakapitu"/>
    <w:rsid w:val="008E3BA4"/>
  </w:style>
  <w:style w:type="paragraph" w:styleId="Akapitzlist">
    <w:name w:val="List Paragraph"/>
    <w:basedOn w:val="Normalny"/>
    <w:uiPriority w:val="34"/>
    <w:qFormat/>
    <w:rsid w:val="008E3B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6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6F7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0656F7"/>
  </w:style>
  <w:style w:type="character" w:styleId="Odwoaniedokomentarza">
    <w:name w:val="annotation reference"/>
    <w:basedOn w:val="Domylnaczcionkaakapitu"/>
    <w:uiPriority w:val="99"/>
    <w:semiHidden/>
    <w:unhideWhenUsed/>
    <w:rsid w:val="00C53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F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F5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F5D"/>
    <w:rPr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9491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89491E"/>
    <w:pPr>
      <w:spacing w:line="360" w:lineRule="auto"/>
      <w:jc w:val="both"/>
    </w:pPr>
    <w:rPr>
      <w:rFonts w:ascii="Arial" w:eastAsia="Times New Roman" w:hAnsi="Arial"/>
      <w:color w:val="auto"/>
      <w:sz w:val="24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rsid w:val="0089491E"/>
    <w:rPr>
      <w:rFonts w:ascii="Arial" w:eastAsia="Times New Roman" w:hAnsi="Arial"/>
      <w:color w:val="auto"/>
      <w:sz w:val="24"/>
      <w:szCs w:val="20"/>
      <w:lang w:val="en-US" w:bidi="en-US"/>
    </w:rPr>
  </w:style>
  <w:style w:type="character" w:styleId="Hipercze">
    <w:name w:val="Hyperlink"/>
    <w:rsid w:val="0089491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6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0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1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8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0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36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8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9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0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65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46021-07BF-4F9A-89F1-EA85CC6B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 / University of Wroclaw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Kremens</dc:creator>
  <cp:lastModifiedBy> Dorota Czerwińska</cp:lastModifiedBy>
  <cp:revision>7</cp:revision>
  <cp:lastPrinted>2019-10-06T06:46:00Z</cp:lastPrinted>
  <dcterms:created xsi:type="dcterms:W3CDTF">2021-02-22T17:40:00Z</dcterms:created>
  <dcterms:modified xsi:type="dcterms:W3CDTF">2022-03-01T19:10:00Z</dcterms:modified>
</cp:coreProperties>
</file>