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EFA" w:rsidRPr="004E4E89" w:rsidRDefault="004E4E89">
      <w:pPr>
        <w:rPr>
          <w:b/>
          <w:bCs/>
        </w:rPr>
      </w:pPr>
      <w:r w:rsidRPr="004E4E89">
        <w:rPr>
          <w:b/>
          <w:bCs/>
        </w:rPr>
        <w:t>URLOP NA ŻADANIE W ORZECZNICTWIE SĄDU NAJWYZSZEGO</w:t>
      </w:r>
    </w:p>
    <w:p w:rsidR="004E4E89" w:rsidRDefault="004E4E89"/>
    <w:p w:rsidR="004E4E89" w:rsidRDefault="004E4E89">
      <w:r w:rsidRPr="004E4E89">
        <w:t xml:space="preserve">Poddając  przepis </w:t>
      </w:r>
      <w:r>
        <w:t xml:space="preserve">K.P. o urlopie na żądanie </w:t>
      </w:r>
      <w:r w:rsidRPr="004E4E89">
        <w:t>analizie, rzeczywiście wydaje się, że pracodawca ma obowiązek udzielić urlopu na żądanie. Jednak orzecznictwo Sądu Najwyższego zdaje się temu przeczyć. W jednym z wyroków Sąd Najwyższy zwraca uwagę, że urlop na żądanie jest częścią urlopu wypoczynkowego, a przez to podlega takim samym regułom jak urlop wypoczynkowy.</w:t>
      </w:r>
    </w:p>
    <w:p w:rsidR="004E4E89" w:rsidRDefault="004E4E89">
      <w:r w:rsidRPr="004E4E89">
        <w:t>Tutaj pojawia się wątpliwość co do stwierdzenia, że urlop ten (wypoczynkowy) jest udzielany przez pracodawcę. Skoro urlop wypoczynkowy jest udzielany, a urlop na żądanie jest częścią urlopu wypoczynkowego, urlop na żądanie też podlega pod sformułowanie, że jest udzielany. Podsumowując, zatrudniony nie może rozpocząć urlopu na żądanie, dopóki pracodawca go nie udzieli.</w:t>
      </w:r>
    </w:p>
    <w:p w:rsidR="004E4E89" w:rsidRDefault="004E4E89">
      <w:r w:rsidRPr="004E4E89">
        <w:t>Co więcej, Sąd Najwyższy stwierdził, że skorzystanie z urlopu na żądanie bez zgody pracodawcy może być przez niego uznane za naruszenie podstawowych obowiązków pracowniczych, co może skutkować rozwiązaniem umowy o pracę w trybie dyscyplinarnym, czyli bez wypowiedzenia. Skorzystanie z urlopu na żądanie bez zgody pracodawcy należy traktować jako naruszające podstawowy obowiązek pracowniczy w postaci konieczności przestrzegania ustalonego u pracodawcy czasu pracy.</w:t>
      </w:r>
    </w:p>
    <w:p w:rsidR="004E4E89" w:rsidRDefault="004E4E89" w:rsidP="004E4E89">
      <w:r>
        <w:t>Kiedy można odmówić urlopu na żądanie?</w:t>
      </w:r>
    </w:p>
    <w:p w:rsidR="004E4E89" w:rsidRDefault="004E4E89" w:rsidP="004E4E89">
      <w:r>
        <w:t>Pracodawca pomimo wskazanych opinii Sądu Najwyższego nie ma dowolności w odmowie udzielenie urlopu na żądanie. Dowolność byłaby sprzeczna z istotą urlopu na żądanie. Przywołując za Sądem Najwyższym, pracodawca może odmówić żądaniu pracownika ze względu na szczególne okoliczności, które powodują, że jego zasługujący na ochronę wyjątkowy interes wymaga obecności pracownika w pracy.</w:t>
      </w:r>
    </w:p>
    <w:p w:rsidR="004E4E89" w:rsidRDefault="004E4E89" w:rsidP="004E4E89">
      <w:r>
        <w:t>Wyroki Sądu Najwyższego</w:t>
      </w:r>
    </w:p>
    <w:p w:rsidR="004E4E89" w:rsidRDefault="004E4E89" w:rsidP="004E4E89">
      <w:r>
        <w:t xml:space="preserve">    Wyrok Sądu Najwyższego z 16 września 2008r., sygn. akt II PK 26/08</w:t>
      </w:r>
    </w:p>
    <w:p w:rsidR="004E4E89" w:rsidRDefault="004E4E89" w:rsidP="004E4E89">
      <w:r>
        <w:t xml:space="preserve">    Wyrok Sądu Najwyższego z 7 lutego 2008r., sygn. akt II PK 162/07</w:t>
      </w:r>
    </w:p>
    <w:p w:rsidR="004E4E89" w:rsidRDefault="004E4E89" w:rsidP="004E4E89">
      <w:r>
        <w:t xml:space="preserve">    Wyrok Sądu Najwyższego z 28 października 2009 r., sygn. akt  II PK 123/09</w:t>
      </w:r>
    </w:p>
    <w:sectPr w:rsidR="004E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89"/>
    <w:rsid w:val="004E4E89"/>
    <w:rsid w:val="006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351E"/>
  <w15:chartTrackingRefBased/>
  <w15:docId w15:val="{EC63A172-EA41-407D-83F7-82E3810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2020-04-17T16:50:00Z</dcterms:created>
  <dcterms:modified xsi:type="dcterms:W3CDTF">2020-04-17T16:54:00Z</dcterms:modified>
</cp:coreProperties>
</file>