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3A" w:rsidRPr="007029F8" w:rsidRDefault="00ED273A" w:rsidP="00706322">
      <w:pPr>
        <w:pStyle w:val="NormalnyWeb"/>
        <w:spacing w:before="0" w:beforeAutospacing="0" w:after="0" w:afterAutospacing="0" w:line="360" w:lineRule="auto"/>
        <w:jc w:val="both"/>
        <w:rPr>
          <w:b/>
        </w:rPr>
      </w:pPr>
      <w:r w:rsidRPr="007029F8">
        <w:rPr>
          <w:b/>
        </w:rPr>
        <w:t>Polityka antymonopolowa</w:t>
      </w:r>
    </w:p>
    <w:p w:rsidR="007029F8" w:rsidRDefault="007029F8" w:rsidP="00706322">
      <w:pPr>
        <w:pStyle w:val="NormalnyWeb"/>
        <w:spacing w:before="0" w:beforeAutospacing="0" w:after="0" w:afterAutospacing="0" w:line="360" w:lineRule="auto"/>
        <w:jc w:val="both"/>
      </w:pPr>
    </w:p>
    <w:p w:rsidR="00ED273A" w:rsidRPr="00ED273A" w:rsidRDefault="00ED273A" w:rsidP="00706322">
      <w:pPr>
        <w:pStyle w:val="NormalnyWeb"/>
        <w:spacing w:before="0" w:beforeAutospacing="0" w:after="0" w:afterAutospacing="0" w:line="360" w:lineRule="auto"/>
        <w:jc w:val="both"/>
        <w:rPr>
          <w:b/>
        </w:rPr>
      </w:pPr>
      <w:r w:rsidRPr="00ED273A">
        <w:rPr>
          <w:b/>
        </w:rPr>
        <w:t>Temat: Usługi świadczone w ogólnym interesie gospodarczym</w:t>
      </w:r>
    </w:p>
    <w:p w:rsidR="001A6318" w:rsidRDefault="001A6318" w:rsidP="00706322">
      <w:pPr>
        <w:pStyle w:val="NormalnyWeb"/>
        <w:spacing w:before="0" w:beforeAutospacing="0" w:after="0" w:afterAutospacing="0" w:line="360" w:lineRule="auto"/>
        <w:jc w:val="both"/>
      </w:pPr>
    </w:p>
    <w:p w:rsidR="00ED273A" w:rsidRDefault="00ED273A" w:rsidP="001A6318">
      <w:pPr>
        <w:ind w:firstLine="708"/>
        <w:rPr>
          <w:rFonts w:eastAsia="Times New Roman"/>
          <w:szCs w:val="24"/>
          <w:lang w:eastAsia="pl-PL"/>
        </w:rPr>
      </w:pPr>
      <w:r w:rsidRPr="004D5E2D">
        <w:rPr>
          <w:rFonts w:eastAsia="Times New Roman"/>
          <w:szCs w:val="24"/>
          <w:lang w:eastAsia="pl-PL"/>
        </w:rPr>
        <w:t xml:space="preserve">Pojęcie </w:t>
      </w:r>
      <w:r>
        <w:rPr>
          <w:rFonts w:eastAsia="Times New Roman"/>
          <w:szCs w:val="24"/>
          <w:lang w:eastAsia="pl-PL"/>
        </w:rPr>
        <w:t xml:space="preserve">takiej </w:t>
      </w:r>
      <w:r w:rsidRPr="004D5E2D">
        <w:rPr>
          <w:rFonts w:eastAsia="Times New Roman"/>
          <w:szCs w:val="24"/>
          <w:lang w:eastAsia="pl-PL"/>
        </w:rPr>
        <w:t xml:space="preserve">usługi zmienia się stopniowo i zależy między innymi od potrzeb obywateli, zmian technologicznych i zmian na rynku, od preferencji społecznych i politycznych w państwie członkowskim. Przy braku szczegółowych reguł </w:t>
      </w:r>
      <w:r>
        <w:rPr>
          <w:rFonts w:eastAsia="Times New Roman"/>
          <w:szCs w:val="24"/>
          <w:lang w:eastAsia="pl-PL"/>
        </w:rPr>
        <w:t xml:space="preserve">UE </w:t>
      </w:r>
      <w:r w:rsidRPr="004D5E2D">
        <w:rPr>
          <w:rFonts w:eastAsia="Times New Roman"/>
          <w:szCs w:val="24"/>
          <w:lang w:eastAsia="pl-PL"/>
        </w:rPr>
        <w:t xml:space="preserve">definiujących </w:t>
      </w:r>
      <w:r>
        <w:rPr>
          <w:rFonts w:eastAsia="Times New Roman"/>
          <w:szCs w:val="24"/>
          <w:lang w:eastAsia="pl-PL"/>
        </w:rPr>
        <w:t>taką usługę</w:t>
      </w:r>
      <w:r w:rsidRPr="004D5E2D">
        <w:rPr>
          <w:rFonts w:eastAsia="Times New Roman"/>
          <w:szCs w:val="24"/>
          <w:lang w:eastAsia="pl-PL"/>
        </w:rPr>
        <w:t xml:space="preserve"> państwa członkowskie dysponują dużą swobodą przy </w:t>
      </w:r>
      <w:r>
        <w:rPr>
          <w:rFonts w:eastAsia="Times New Roman"/>
          <w:szCs w:val="24"/>
          <w:lang w:eastAsia="pl-PL"/>
        </w:rPr>
        <w:t xml:space="preserve">kwalifikowaniu usług do tej kategorii i </w:t>
      </w:r>
      <w:r w:rsidRPr="004D5E2D">
        <w:rPr>
          <w:rFonts w:eastAsia="Times New Roman"/>
          <w:szCs w:val="24"/>
          <w:lang w:eastAsia="pl-PL"/>
        </w:rPr>
        <w:t>przy przyznawaniu usługodawcy rekompensaty. Kompetencje Komisji w tym zakresie są ograniczone do sprawdzania, czy państwo członkowskie nie popełniło oczywistego błędu przy definiowaniu określonej usługi jako</w:t>
      </w:r>
      <w:r w:rsidR="001A6318">
        <w:rPr>
          <w:rFonts w:eastAsia="Times New Roman"/>
          <w:szCs w:val="24"/>
          <w:lang w:eastAsia="pl-PL"/>
        </w:rPr>
        <w:t xml:space="preserve"> usługi w ogólnym interesie gospodarczym</w:t>
      </w:r>
      <w:r w:rsidRPr="004D5E2D">
        <w:rPr>
          <w:rFonts w:eastAsia="Times New Roman"/>
          <w:szCs w:val="24"/>
          <w:lang w:eastAsia="pl-PL"/>
        </w:rPr>
        <w:t xml:space="preserve">. </w:t>
      </w:r>
    </w:p>
    <w:p w:rsidR="00ED273A" w:rsidRPr="001A6318" w:rsidRDefault="00ED273A" w:rsidP="00ED273A">
      <w:pPr>
        <w:ind w:firstLine="708"/>
        <w:rPr>
          <w:rFonts w:eastAsia="Times New Roman"/>
          <w:szCs w:val="24"/>
          <w:lang w:eastAsia="pl-PL"/>
        </w:rPr>
      </w:pPr>
      <w:r w:rsidRPr="004D5E2D">
        <w:rPr>
          <w:rFonts w:eastAsia="Times New Roman"/>
          <w:szCs w:val="24"/>
          <w:lang w:eastAsia="pl-PL"/>
        </w:rPr>
        <w:t xml:space="preserve">Pierwsze kryterium dotyczy </w:t>
      </w:r>
      <w:r w:rsidRPr="001A6318">
        <w:rPr>
          <w:rFonts w:eastAsia="Times New Roman"/>
          <w:b/>
          <w:szCs w:val="24"/>
          <w:lang w:eastAsia="pl-PL"/>
        </w:rPr>
        <w:t>zdefiniowania zadania,</w:t>
      </w:r>
      <w:r w:rsidRPr="004D5E2D">
        <w:rPr>
          <w:rFonts w:eastAsia="Times New Roman"/>
          <w:szCs w:val="24"/>
          <w:lang w:eastAsia="pl-PL"/>
        </w:rPr>
        <w:t xml:space="preserve"> jakim jest wykonanie</w:t>
      </w:r>
      <w:r>
        <w:rPr>
          <w:rFonts w:eastAsia="Times New Roman"/>
          <w:szCs w:val="24"/>
          <w:lang w:eastAsia="pl-PL"/>
        </w:rPr>
        <w:t xml:space="preserve"> usług świadczonych w ogólnym interesie gospodarczym.</w:t>
      </w:r>
      <w:r w:rsidRPr="004D5E2D">
        <w:rPr>
          <w:rFonts w:eastAsia="Times New Roman"/>
          <w:szCs w:val="24"/>
          <w:lang w:eastAsia="pl-PL"/>
        </w:rPr>
        <w:t xml:space="preserve"> Wymóg ten pokrywa się z wymogiem zawar</w:t>
      </w:r>
      <w:r w:rsidR="001A6318">
        <w:rPr>
          <w:rFonts w:eastAsia="Times New Roman"/>
          <w:szCs w:val="24"/>
          <w:lang w:eastAsia="pl-PL"/>
        </w:rPr>
        <w:t>tym w art. 106 ust. 2 TFUE.</w:t>
      </w:r>
      <w:r>
        <w:rPr>
          <w:rFonts w:eastAsia="Times New Roman"/>
          <w:szCs w:val="24"/>
          <w:lang w:eastAsia="pl-PL"/>
        </w:rPr>
        <w:t xml:space="preserve"> </w:t>
      </w:r>
      <w:r w:rsidRPr="004D5E2D">
        <w:rPr>
          <w:rFonts w:eastAsia="Times New Roman"/>
          <w:szCs w:val="24"/>
          <w:lang w:eastAsia="pl-PL"/>
        </w:rPr>
        <w:t xml:space="preserve">Z </w:t>
      </w:r>
      <w:r w:rsidR="001A6318">
        <w:rPr>
          <w:rFonts w:eastAsia="Times New Roman"/>
          <w:szCs w:val="24"/>
          <w:lang w:eastAsia="pl-PL"/>
        </w:rPr>
        <w:t xml:space="preserve">tego </w:t>
      </w:r>
      <w:r w:rsidRPr="004D5E2D">
        <w:rPr>
          <w:rFonts w:eastAsia="Times New Roman"/>
          <w:szCs w:val="24"/>
          <w:lang w:eastAsia="pl-PL"/>
        </w:rPr>
        <w:t>art</w:t>
      </w:r>
      <w:r w:rsidR="001A6318">
        <w:rPr>
          <w:rFonts w:eastAsia="Times New Roman"/>
          <w:szCs w:val="24"/>
          <w:lang w:eastAsia="pl-PL"/>
        </w:rPr>
        <w:t xml:space="preserve">ykułu </w:t>
      </w:r>
      <w:r w:rsidRPr="004D5E2D">
        <w:rPr>
          <w:rFonts w:eastAsia="Times New Roman"/>
          <w:szCs w:val="24"/>
          <w:lang w:eastAsia="pl-PL"/>
        </w:rPr>
        <w:t xml:space="preserve">wynika, że przedsiębiorstwa, którym powierzono </w:t>
      </w:r>
      <w:r>
        <w:rPr>
          <w:rFonts w:eastAsia="Times New Roman"/>
          <w:szCs w:val="24"/>
          <w:lang w:eastAsia="pl-PL"/>
        </w:rPr>
        <w:t>wykonywanie takiej usługi</w:t>
      </w:r>
      <w:r w:rsidRPr="004D5E2D">
        <w:rPr>
          <w:rFonts w:eastAsia="Times New Roman"/>
          <w:szCs w:val="24"/>
          <w:lang w:eastAsia="pl-PL"/>
        </w:rPr>
        <w:t xml:space="preserve">, to przedsiębiorstwa, którym powierzono "szczególne zadanie" </w:t>
      </w:r>
      <w:r w:rsidRPr="001A6318">
        <w:rPr>
          <w:rFonts w:eastAsia="Times New Roman"/>
          <w:b/>
          <w:szCs w:val="24"/>
          <w:lang w:eastAsia="pl-PL"/>
        </w:rPr>
        <w:t xml:space="preserve">Zasadniczo powierzenie "określonego zadania z zakresu usług publicznych" oznacza świadczenie usług, których dane przedsiębiorstwo, ze względu na swój własny interes gospodarczy, nie podjęłoby się lub nie podjęłoby się w tym samym zakresie lub na tych samych warunkach. </w:t>
      </w:r>
      <w:r w:rsidRPr="001A6318">
        <w:rPr>
          <w:rFonts w:eastAsia="Times New Roman"/>
          <w:szCs w:val="24"/>
          <w:lang w:eastAsia="pl-PL"/>
        </w:rPr>
        <w:t>Stosując kryterium interesu ogólnego, państwa członkowskie lub Unia mogą powiązać konkretne zobowiązania z takimi usługami.</w:t>
      </w:r>
    </w:p>
    <w:p w:rsidR="00ED273A" w:rsidRPr="004D5E2D" w:rsidRDefault="00ED273A" w:rsidP="00ED273A">
      <w:pPr>
        <w:ind w:firstLine="708"/>
        <w:rPr>
          <w:rFonts w:eastAsia="Times New Roman"/>
          <w:szCs w:val="24"/>
          <w:lang w:eastAsia="pl-PL"/>
        </w:rPr>
      </w:pPr>
      <w:r w:rsidRPr="004D5E2D">
        <w:rPr>
          <w:rFonts w:eastAsia="Times New Roman"/>
          <w:szCs w:val="24"/>
          <w:lang w:eastAsia="pl-PL"/>
        </w:rPr>
        <w:t>Komisja uważa zatem, że nie byłoby właściwe wiązanie zobowiązań do świadczenia określonych usług publicznych z działalnością, która jest już wykonywana lub może być wykonywana skutecznie i na warunkach takich jak cena, obiektywne cechy jakościowe, ciągłość i dostęp do danej usługi, zgodnych z interesem publicznym zdefiniowanym przez państwo, przez przedsiębiorstwa działające na zwykłych warunkach rynkowych Jeżeli chodzi o to, czy dana usługa może być zapewniona na rynku, ocena Komisji ogranicza się do sprawdzenia, czy państwo członkowskie nie popełniło oczywistego błędu.</w:t>
      </w:r>
    </w:p>
    <w:p w:rsidR="00ED273A" w:rsidRPr="004D5E2D" w:rsidRDefault="00ED273A" w:rsidP="00ED273A">
      <w:pPr>
        <w:ind w:firstLine="708"/>
        <w:rPr>
          <w:rFonts w:eastAsia="Times New Roman"/>
          <w:szCs w:val="24"/>
          <w:lang w:eastAsia="pl-PL"/>
        </w:rPr>
      </w:pPr>
      <w:r w:rsidRPr="004D5E2D">
        <w:rPr>
          <w:rFonts w:eastAsia="Times New Roman"/>
          <w:szCs w:val="24"/>
          <w:lang w:eastAsia="pl-PL"/>
        </w:rPr>
        <w:t xml:space="preserve">Ważnym przykładem </w:t>
      </w:r>
      <w:r w:rsidRPr="001A6318">
        <w:rPr>
          <w:rFonts w:eastAsia="Times New Roman"/>
          <w:b/>
          <w:szCs w:val="24"/>
          <w:lang w:eastAsia="pl-PL"/>
        </w:rPr>
        <w:t>tej zasady jest sektor łączności szerokopasmowej,</w:t>
      </w:r>
      <w:r w:rsidRPr="004D5E2D">
        <w:rPr>
          <w:rFonts w:eastAsia="Times New Roman"/>
          <w:szCs w:val="24"/>
          <w:lang w:eastAsia="pl-PL"/>
        </w:rPr>
        <w:t xml:space="preserve"> w odniesieniu </w:t>
      </w:r>
      <w:r>
        <w:rPr>
          <w:rFonts w:eastAsia="Times New Roman"/>
          <w:szCs w:val="24"/>
          <w:lang w:eastAsia="pl-PL"/>
        </w:rPr>
        <w:t xml:space="preserve">do którego </w:t>
      </w:r>
      <w:r w:rsidRPr="004D5E2D">
        <w:rPr>
          <w:rFonts w:eastAsia="Times New Roman"/>
          <w:szCs w:val="24"/>
          <w:lang w:eastAsia="pl-PL"/>
        </w:rPr>
        <w:t xml:space="preserve">Komisja uważa, że na obszarach, na których inwestorzy prywatni poczynili już inwestycje w infrastrukturę sieci szerokopasmowych (lub w danym momencie rozbudowują swoją infrastrukturę sieciową) i świadczą już konkurencyjne usługi sieci szerokopasmowych, zapewniając odpowiedni zasięg tych sieci, stworzenie równoległej infrastruktury szerokopasmowej nie powinno być uznawane za </w:t>
      </w:r>
      <w:r>
        <w:rPr>
          <w:rFonts w:eastAsia="Times New Roman"/>
          <w:szCs w:val="24"/>
          <w:lang w:eastAsia="pl-PL"/>
        </w:rPr>
        <w:t xml:space="preserve">usługi świadczone w ogólnym </w:t>
      </w:r>
      <w:r>
        <w:rPr>
          <w:rFonts w:eastAsia="Times New Roman"/>
          <w:szCs w:val="24"/>
          <w:lang w:eastAsia="pl-PL"/>
        </w:rPr>
        <w:lastRenderedPageBreak/>
        <w:t>interesie gospodarczym</w:t>
      </w:r>
      <w:r w:rsidRPr="004D5E2D">
        <w:rPr>
          <w:rFonts w:eastAsia="Times New Roman"/>
          <w:szCs w:val="24"/>
          <w:lang w:eastAsia="pl-PL"/>
        </w:rPr>
        <w:t xml:space="preserve">. Natomiast jeśli inwestorzy nie są w stanie zapewnić odpowiedniego zasięgu sieci szerokopasmowej, po spełnieniu określonych warunków można przyznać rekompensatę z tytułu </w:t>
      </w:r>
      <w:r>
        <w:rPr>
          <w:rFonts w:eastAsia="Times New Roman"/>
          <w:szCs w:val="24"/>
          <w:lang w:eastAsia="pl-PL"/>
        </w:rPr>
        <w:t>usług świadczonych w ogólnym interesie gospodarczym</w:t>
      </w:r>
      <w:r w:rsidRPr="004D5E2D">
        <w:rPr>
          <w:rFonts w:eastAsia="Times New Roman"/>
          <w:szCs w:val="24"/>
          <w:lang w:eastAsia="pl-PL"/>
        </w:rPr>
        <w:t>.</w:t>
      </w:r>
      <w:r>
        <w:rPr>
          <w:rFonts w:eastAsia="Times New Roman"/>
          <w:szCs w:val="24"/>
          <w:lang w:eastAsia="pl-PL"/>
        </w:rPr>
        <w:t xml:space="preserve"> Takie usługi</w:t>
      </w:r>
      <w:r w:rsidRPr="004D5E2D">
        <w:rPr>
          <w:rFonts w:eastAsia="Times New Roman"/>
          <w:szCs w:val="24"/>
          <w:lang w:eastAsia="pl-PL"/>
        </w:rPr>
        <w:t xml:space="preserve"> muszą służyć obywatelom lub leżeć w interesie całego społeczeństwa.</w:t>
      </w:r>
    </w:p>
    <w:p w:rsidR="00ED273A" w:rsidRDefault="001A6318" w:rsidP="00706322">
      <w:pPr>
        <w:pStyle w:val="NormalnyWeb"/>
        <w:spacing w:before="0" w:beforeAutospacing="0" w:after="0" w:afterAutospacing="0" w:line="360" w:lineRule="auto"/>
        <w:jc w:val="both"/>
      </w:pPr>
      <w:r>
        <w:tab/>
        <w:t>Przykładem usług w ogólnym interesie gospodarczym mogą być:</w:t>
      </w:r>
    </w:p>
    <w:p w:rsidR="00706322" w:rsidRDefault="001A6318" w:rsidP="001A6318">
      <w:pPr>
        <w:pStyle w:val="NormalnyWeb"/>
        <w:numPr>
          <w:ilvl w:val="0"/>
          <w:numId w:val="1"/>
        </w:numPr>
        <w:spacing w:before="0" w:beforeAutospacing="0" w:after="0" w:afterAutospacing="0" w:line="360" w:lineRule="auto"/>
        <w:jc w:val="both"/>
      </w:pPr>
      <w:r>
        <w:t>u</w:t>
      </w:r>
      <w:r w:rsidR="00706322">
        <w:t>sług</w:t>
      </w:r>
      <w:r>
        <w:t xml:space="preserve">i </w:t>
      </w:r>
      <w:r w:rsidR="00706322">
        <w:t>szpital</w:t>
      </w:r>
      <w:r>
        <w:t>i</w:t>
      </w:r>
      <w:r w:rsidR="00706322">
        <w:t xml:space="preserve"> świadcząc</w:t>
      </w:r>
      <w:r>
        <w:t>ych</w:t>
      </w:r>
      <w:r w:rsidR="00706322">
        <w:t xml:space="preserve"> opiekę medyczną, w tym usługi ratownictwa medycznego; świadczenie usług pomocniczych związanych bezpośrednio z główną działalnością, zwłaszcza w zakresie badań naukowych</w:t>
      </w:r>
      <w:r>
        <w:t>;</w:t>
      </w:r>
    </w:p>
    <w:p w:rsidR="00706322" w:rsidRDefault="00706322" w:rsidP="001A6318">
      <w:pPr>
        <w:pStyle w:val="NormalnyWeb"/>
        <w:numPr>
          <w:ilvl w:val="0"/>
          <w:numId w:val="1"/>
        </w:numPr>
        <w:spacing w:before="0" w:beforeAutospacing="0" w:after="0" w:afterAutospacing="0" w:line="360" w:lineRule="auto"/>
        <w:jc w:val="both"/>
      </w:pPr>
      <w:r>
        <w:t>usług</w:t>
      </w:r>
      <w:r w:rsidR="001A6318">
        <w:t>i</w:t>
      </w:r>
      <w:r>
        <w:t xml:space="preserve"> zaspokajając</w:t>
      </w:r>
      <w:r w:rsidR="001A6318">
        <w:t>e</w:t>
      </w:r>
      <w:r>
        <w:t xml:space="preserve"> potrzeby społeczne w zakresie opieki zdrowotnej i opieki długoterminowej, opieki nad dziećmi, dostępu do i reintegracji na rynku pracy, mieszkania socjalne, opieki nad słabszymi grupami społecznymi oraz włączenia społecznego tych grup;</w:t>
      </w:r>
    </w:p>
    <w:p w:rsidR="00706322" w:rsidRDefault="00706322" w:rsidP="001A6318">
      <w:pPr>
        <w:pStyle w:val="NormalnyWeb"/>
        <w:numPr>
          <w:ilvl w:val="0"/>
          <w:numId w:val="1"/>
        </w:numPr>
        <w:spacing w:before="0" w:beforeAutospacing="0" w:after="0" w:afterAutospacing="0" w:line="360" w:lineRule="auto"/>
        <w:jc w:val="both"/>
      </w:pPr>
      <w:r>
        <w:t>usług</w:t>
      </w:r>
      <w:r w:rsidR="001A6318">
        <w:t>i</w:t>
      </w:r>
      <w:r>
        <w:t xml:space="preserve"> </w:t>
      </w:r>
      <w:r w:rsidR="001A6318">
        <w:t>w</w:t>
      </w:r>
      <w:r>
        <w:t xml:space="preserve"> zakresie połączeń lotniczych lub morskich z wyspami</w:t>
      </w:r>
      <w:r w:rsidR="001A6318">
        <w:t xml:space="preserve">, na których natężenie </w:t>
      </w:r>
      <w:r>
        <w:t>ruchu</w:t>
      </w:r>
      <w:r w:rsidR="001A6318">
        <w:t xml:space="preserve"> było niewielkie i </w:t>
      </w:r>
      <w:r>
        <w:t xml:space="preserve"> nie przekraczało 300.000 pasażerów;</w:t>
      </w:r>
    </w:p>
    <w:p w:rsidR="00706322" w:rsidRDefault="00706322" w:rsidP="001A6318">
      <w:pPr>
        <w:pStyle w:val="NormalnyWeb"/>
        <w:numPr>
          <w:ilvl w:val="0"/>
          <w:numId w:val="1"/>
        </w:numPr>
        <w:spacing w:before="0" w:beforeAutospacing="0" w:after="0" w:afterAutospacing="0" w:line="360" w:lineRule="auto"/>
        <w:jc w:val="both"/>
      </w:pPr>
      <w:r>
        <w:t>usług</w:t>
      </w:r>
      <w:r w:rsidR="001A6318">
        <w:t>i</w:t>
      </w:r>
      <w:r>
        <w:t xml:space="preserve"> dla lotnisk i portów, w których średnie roczne natężenie ruchu </w:t>
      </w:r>
      <w:r w:rsidR="00797E93">
        <w:t>n</w:t>
      </w:r>
      <w:r>
        <w:t>ie przekraczało 200.000 pasażerów w przypadku lotnisk i 300.000 pasażerów w przypadku portów.</w:t>
      </w:r>
    </w:p>
    <w:p w:rsidR="007029F8" w:rsidRDefault="007029F8" w:rsidP="001A6318">
      <w:pPr>
        <w:pStyle w:val="NormalnyWeb"/>
        <w:numPr>
          <w:ilvl w:val="0"/>
          <w:numId w:val="1"/>
        </w:numPr>
        <w:spacing w:before="0" w:beforeAutospacing="0" w:after="0" w:afterAutospacing="0" w:line="360" w:lineRule="auto"/>
        <w:jc w:val="both"/>
      </w:pPr>
      <w:r>
        <w:t>usługi z zakresu energetyki, telekomunikacji, dostaw wody, gazu, energii elektrycznej, transportu publicznego.</w:t>
      </w:r>
    </w:p>
    <w:p w:rsidR="00706322" w:rsidRDefault="007029F8" w:rsidP="007029F8">
      <w:pPr>
        <w:spacing w:after="240"/>
      </w:pPr>
      <w:r w:rsidRPr="007029F8">
        <w:rPr>
          <w:rFonts w:eastAsia="Times New Roman"/>
          <w:szCs w:val="24"/>
          <w:lang w:eastAsia="pl-PL"/>
        </w:rPr>
        <w:t>Przedsiębiorstwa, którym powierzono świadczenie usług</w:t>
      </w:r>
      <w:r>
        <w:rPr>
          <w:rFonts w:eastAsia="Times New Roman"/>
          <w:b/>
          <w:szCs w:val="24"/>
          <w:lang w:eastAsia="pl-PL"/>
        </w:rPr>
        <w:t xml:space="preserve"> </w:t>
      </w:r>
      <w:r>
        <w:t>w ogólnym interesie gospodarczym mogą uzyskać od państwa rekompensatę. Udzielenie takiej rekompensaty, dla uznania jej za nienaruszającej zakazu z art.107 ust 1 TFUE, spełniać określone warunki. Badany jest wpływ na wymianę handlową między państwami członkowskimi.</w:t>
      </w:r>
    </w:p>
    <w:p w:rsidR="007029F8" w:rsidRDefault="00706322" w:rsidP="00706322">
      <w:pPr>
        <w:rPr>
          <w:rFonts w:eastAsia="Times New Roman"/>
          <w:b/>
          <w:szCs w:val="24"/>
          <w:lang w:eastAsia="pl-PL"/>
        </w:rPr>
      </w:pPr>
      <w:r w:rsidRPr="004D5E2D">
        <w:rPr>
          <w:rFonts w:eastAsia="Times New Roman"/>
          <w:b/>
          <w:szCs w:val="24"/>
          <w:lang w:eastAsia="pl-PL"/>
        </w:rPr>
        <w:t>Wpływ na wymianę handlową</w:t>
      </w:r>
      <w:r>
        <w:rPr>
          <w:rFonts w:eastAsia="Times New Roman"/>
          <w:b/>
          <w:szCs w:val="24"/>
          <w:lang w:eastAsia="pl-PL"/>
        </w:rPr>
        <w:t xml:space="preserve"> </w:t>
      </w:r>
    </w:p>
    <w:p w:rsidR="00706322" w:rsidRDefault="00706322" w:rsidP="007029F8">
      <w:pPr>
        <w:ind w:firstLine="708"/>
        <w:rPr>
          <w:rFonts w:eastAsia="Times New Roman"/>
          <w:szCs w:val="24"/>
          <w:lang w:eastAsia="pl-PL"/>
        </w:rPr>
      </w:pPr>
      <w:r>
        <w:rPr>
          <w:rFonts w:eastAsia="Times New Roman"/>
          <w:szCs w:val="24"/>
          <w:lang w:eastAsia="pl-PL"/>
        </w:rPr>
        <w:t>R</w:t>
      </w:r>
      <w:r w:rsidRPr="004D5E2D">
        <w:rPr>
          <w:rFonts w:eastAsia="Times New Roman"/>
          <w:szCs w:val="24"/>
          <w:lang w:eastAsia="pl-PL"/>
        </w:rPr>
        <w:t xml:space="preserve">ekompensata z tytułu świadczenia usług publicznych podlegała art. 107 Traktatu, </w:t>
      </w:r>
      <w:r>
        <w:rPr>
          <w:rFonts w:eastAsia="Times New Roman"/>
          <w:szCs w:val="24"/>
          <w:lang w:eastAsia="pl-PL"/>
        </w:rPr>
        <w:t>gdy</w:t>
      </w:r>
      <w:r w:rsidRPr="004D5E2D">
        <w:rPr>
          <w:rFonts w:eastAsia="Times New Roman"/>
          <w:szCs w:val="24"/>
          <w:lang w:eastAsia="pl-PL"/>
        </w:rPr>
        <w:t xml:space="preserve"> wywiera wpływ na wymianę handlową między państwami członkowskimi. Taki wpływ zasadniczo zakłada istnienie rynku otwartego na konkurencję. </w:t>
      </w:r>
      <w:r>
        <w:rPr>
          <w:rFonts w:eastAsia="Times New Roman"/>
          <w:szCs w:val="24"/>
          <w:lang w:eastAsia="pl-PL"/>
        </w:rPr>
        <w:t>G</w:t>
      </w:r>
      <w:r w:rsidRPr="004D5E2D">
        <w:rPr>
          <w:rFonts w:eastAsia="Times New Roman"/>
          <w:szCs w:val="24"/>
          <w:lang w:eastAsia="pl-PL"/>
        </w:rPr>
        <w:t>dy otwarcie rynków na konkurencję nastąpiło wskutek przepisów</w:t>
      </w:r>
      <w:r>
        <w:rPr>
          <w:rFonts w:eastAsia="Times New Roman"/>
          <w:szCs w:val="24"/>
          <w:lang w:eastAsia="pl-PL"/>
        </w:rPr>
        <w:t xml:space="preserve"> UE</w:t>
      </w:r>
      <w:r w:rsidRPr="004D5E2D">
        <w:rPr>
          <w:rFonts w:eastAsia="Times New Roman"/>
          <w:szCs w:val="24"/>
          <w:lang w:eastAsia="pl-PL"/>
        </w:rPr>
        <w:t xml:space="preserve"> lub krajowych czy faktycznego rozwoju gospodarczego, obowiązują reguły pomocy</w:t>
      </w:r>
      <w:r>
        <w:rPr>
          <w:rFonts w:eastAsia="Times New Roman"/>
          <w:szCs w:val="24"/>
          <w:lang w:eastAsia="pl-PL"/>
        </w:rPr>
        <w:t xml:space="preserve"> publicznej</w:t>
      </w:r>
      <w:r w:rsidRPr="004D5E2D">
        <w:rPr>
          <w:rFonts w:eastAsia="Times New Roman"/>
          <w:szCs w:val="24"/>
          <w:lang w:eastAsia="pl-PL"/>
        </w:rPr>
        <w:t xml:space="preserve">. </w:t>
      </w:r>
      <w:r>
        <w:rPr>
          <w:rFonts w:eastAsia="Times New Roman"/>
          <w:szCs w:val="24"/>
          <w:lang w:eastAsia="pl-PL"/>
        </w:rPr>
        <w:t>P</w:t>
      </w:r>
      <w:r w:rsidRPr="004D5E2D">
        <w:rPr>
          <w:rFonts w:eastAsia="Times New Roman"/>
          <w:szCs w:val="24"/>
          <w:lang w:eastAsia="pl-PL"/>
        </w:rPr>
        <w:t>aństwa członkowskie zachowują swobodę decydowania o spos</w:t>
      </w:r>
      <w:r>
        <w:rPr>
          <w:rFonts w:eastAsia="Times New Roman"/>
          <w:szCs w:val="24"/>
          <w:lang w:eastAsia="pl-PL"/>
        </w:rPr>
        <w:t>o</w:t>
      </w:r>
      <w:r w:rsidRPr="004D5E2D">
        <w:rPr>
          <w:rFonts w:eastAsia="Times New Roman"/>
          <w:szCs w:val="24"/>
          <w:lang w:eastAsia="pl-PL"/>
        </w:rPr>
        <w:t>b</w:t>
      </w:r>
      <w:r>
        <w:rPr>
          <w:rFonts w:eastAsia="Times New Roman"/>
          <w:szCs w:val="24"/>
          <w:lang w:eastAsia="pl-PL"/>
        </w:rPr>
        <w:t>ie</w:t>
      </w:r>
      <w:r w:rsidRPr="004D5E2D">
        <w:rPr>
          <w:rFonts w:eastAsia="Times New Roman"/>
          <w:szCs w:val="24"/>
          <w:lang w:eastAsia="pl-PL"/>
        </w:rPr>
        <w:t xml:space="preserve"> zdefiniowa</w:t>
      </w:r>
      <w:r>
        <w:rPr>
          <w:rFonts w:eastAsia="Times New Roman"/>
          <w:szCs w:val="24"/>
          <w:lang w:eastAsia="pl-PL"/>
        </w:rPr>
        <w:t>nia</w:t>
      </w:r>
      <w:r w:rsidRPr="004D5E2D">
        <w:rPr>
          <w:rFonts w:eastAsia="Times New Roman"/>
          <w:szCs w:val="24"/>
          <w:lang w:eastAsia="pl-PL"/>
        </w:rPr>
        <w:t>, zorganizowa</w:t>
      </w:r>
      <w:r>
        <w:rPr>
          <w:rFonts w:eastAsia="Times New Roman"/>
          <w:szCs w:val="24"/>
          <w:lang w:eastAsia="pl-PL"/>
        </w:rPr>
        <w:t>nia</w:t>
      </w:r>
      <w:r w:rsidRPr="004D5E2D">
        <w:rPr>
          <w:rFonts w:eastAsia="Times New Roman"/>
          <w:szCs w:val="24"/>
          <w:lang w:eastAsia="pl-PL"/>
        </w:rPr>
        <w:t xml:space="preserve"> i finansowa</w:t>
      </w:r>
      <w:r>
        <w:rPr>
          <w:rFonts w:eastAsia="Times New Roman"/>
          <w:szCs w:val="24"/>
          <w:lang w:eastAsia="pl-PL"/>
        </w:rPr>
        <w:t>nia</w:t>
      </w:r>
      <w:r w:rsidRPr="004D5E2D">
        <w:rPr>
          <w:rFonts w:eastAsia="Times New Roman"/>
          <w:szCs w:val="24"/>
          <w:lang w:eastAsia="pl-PL"/>
        </w:rPr>
        <w:t xml:space="preserve"> </w:t>
      </w:r>
      <w:r>
        <w:rPr>
          <w:rFonts w:eastAsia="Times New Roman"/>
          <w:szCs w:val="24"/>
          <w:lang w:eastAsia="pl-PL"/>
        </w:rPr>
        <w:t>usług świadczonych w ogólnym interesie gospodarczym. Rekompensata przyznana podmiotowi czy to prywatnemu czy publicznemu świadczącemu takie usługi podlega kontroli.</w:t>
      </w:r>
      <w:r w:rsidRPr="004D5E2D">
        <w:rPr>
          <w:rFonts w:eastAsia="Times New Roman"/>
          <w:szCs w:val="24"/>
          <w:lang w:eastAsia="pl-PL"/>
        </w:rPr>
        <w:t xml:space="preserve"> </w:t>
      </w:r>
      <w:r>
        <w:rPr>
          <w:rFonts w:eastAsia="Times New Roman"/>
          <w:szCs w:val="24"/>
          <w:lang w:eastAsia="pl-PL"/>
        </w:rPr>
        <w:t>J</w:t>
      </w:r>
      <w:r w:rsidRPr="004D5E2D">
        <w:rPr>
          <w:rFonts w:eastAsia="Times New Roman"/>
          <w:szCs w:val="24"/>
          <w:lang w:eastAsia="pl-PL"/>
        </w:rPr>
        <w:t xml:space="preserve">eżeli działalność gospodarczą otwarto na konkurencję, decyzje o zapewnieniu </w:t>
      </w:r>
      <w:r>
        <w:rPr>
          <w:rFonts w:eastAsia="Times New Roman"/>
          <w:szCs w:val="24"/>
          <w:lang w:eastAsia="pl-PL"/>
        </w:rPr>
        <w:t xml:space="preserve">takich usług </w:t>
      </w:r>
      <w:r w:rsidRPr="004D5E2D">
        <w:rPr>
          <w:rFonts w:eastAsia="Times New Roman"/>
          <w:szCs w:val="24"/>
          <w:lang w:eastAsia="pl-PL"/>
        </w:rPr>
        <w:t>innymi metodami niż przy zastosowaniu procedury zamówień publicznych</w:t>
      </w:r>
      <w:r>
        <w:rPr>
          <w:rFonts w:eastAsia="Times New Roman"/>
          <w:szCs w:val="24"/>
          <w:lang w:eastAsia="pl-PL"/>
        </w:rPr>
        <w:t xml:space="preserve"> </w:t>
      </w:r>
      <w:r w:rsidRPr="004D5E2D">
        <w:rPr>
          <w:rFonts w:eastAsia="Times New Roman"/>
          <w:szCs w:val="24"/>
          <w:lang w:eastAsia="pl-PL"/>
        </w:rPr>
        <w:t xml:space="preserve">mogą prowadzić do </w:t>
      </w:r>
      <w:r w:rsidRPr="004D5E2D">
        <w:rPr>
          <w:rFonts w:eastAsia="Times New Roman"/>
          <w:szCs w:val="24"/>
          <w:lang w:eastAsia="pl-PL"/>
        </w:rPr>
        <w:lastRenderedPageBreak/>
        <w:t>zakłóceń polegających na uniemożliwianiu konkurentom wejścia na rynek lub ułatwianiu beneficjentowi ekspansji na innych rynkach. Pomoc przyznana przedsiębiorstwu działającemu na rynku niezliberalizowanym może wywierać wpływ na wymianę handlową, jeśli przedsiębiorstwo-beneficjent działa również na rynkach zliberalizowan</w:t>
      </w:r>
      <w:r>
        <w:rPr>
          <w:rFonts w:eastAsia="Times New Roman"/>
          <w:szCs w:val="24"/>
          <w:lang w:eastAsia="pl-PL"/>
        </w:rPr>
        <w:t>ych.</w:t>
      </w:r>
    </w:p>
    <w:p w:rsidR="00706322" w:rsidRPr="004D5E2D" w:rsidRDefault="00706322" w:rsidP="00706322">
      <w:pPr>
        <w:ind w:firstLine="708"/>
        <w:rPr>
          <w:rFonts w:eastAsia="Times New Roman"/>
          <w:szCs w:val="24"/>
          <w:lang w:eastAsia="pl-PL"/>
        </w:rPr>
      </w:pPr>
      <w:r w:rsidRPr="004D5E2D">
        <w:rPr>
          <w:rFonts w:eastAsia="Times New Roman"/>
          <w:szCs w:val="24"/>
          <w:lang w:eastAsia="pl-PL"/>
        </w:rPr>
        <w:t>Zgodnie z orzecznictwem Trybunału Sprawiedliwości nie ma progu ani wskaźnika procentowego, poniżej którego można uznać, że nie jest wywierany wpływ na wymianę handlową między państwami członkowskimi. Stosunkowo niewielka kwota pomocy lub stosunkowo mały rozmiar przedsiębiorstwa-beneficjenta nie oznacza a priori, że nie miał miejsce wpływ na wymianę handlową między państwami członkowskimi.</w:t>
      </w:r>
    </w:p>
    <w:p w:rsidR="00706322" w:rsidRDefault="00706322" w:rsidP="00706322">
      <w:pPr>
        <w:ind w:firstLine="708"/>
        <w:rPr>
          <w:rFonts w:eastAsia="Times New Roman"/>
          <w:szCs w:val="24"/>
          <w:lang w:eastAsia="pl-PL"/>
        </w:rPr>
      </w:pPr>
      <w:r w:rsidRPr="004D5E2D">
        <w:rPr>
          <w:rFonts w:eastAsia="Times New Roman"/>
          <w:szCs w:val="24"/>
          <w:lang w:eastAsia="pl-PL"/>
        </w:rPr>
        <w:t xml:space="preserve">Komisja w kilku przypadkach stwierdziła, że działalność </w:t>
      </w:r>
      <w:r>
        <w:rPr>
          <w:rFonts w:eastAsia="Times New Roman"/>
          <w:szCs w:val="24"/>
          <w:lang w:eastAsia="pl-PL"/>
        </w:rPr>
        <w:t>czysto lokalna</w:t>
      </w:r>
      <w:r w:rsidRPr="004D5E2D">
        <w:rPr>
          <w:rFonts w:eastAsia="Times New Roman"/>
          <w:szCs w:val="24"/>
          <w:lang w:eastAsia="pl-PL"/>
        </w:rPr>
        <w:t xml:space="preserve"> nie wywierała wpływu na wymianę handlową między państwami członkowskimi</w:t>
      </w:r>
      <w:r>
        <w:rPr>
          <w:rFonts w:eastAsia="Times New Roman"/>
          <w:szCs w:val="24"/>
          <w:lang w:eastAsia="pl-PL"/>
        </w:rPr>
        <w:t xml:space="preserve"> np. </w:t>
      </w:r>
      <w:r w:rsidRPr="004D5E2D">
        <w:rPr>
          <w:rFonts w:eastAsia="Times New Roman"/>
          <w:szCs w:val="24"/>
          <w:lang w:eastAsia="pl-PL"/>
        </w:rPr>
        <w:t>baseny używane przede wszystkim przez lokalną ludność;</w:t>
      </w:r>
      <w:r>
        <w:rPr>
          <w:rFonts w:eastAsia="Times New Roman"/>
          <w:szCs w:val="24"/>
          <w:lang w:eastAsia="pl-PL"/>
        </w:rPr>
        <w:t xml:space="preserve"> </w:t>
      </w:r>
      <w:r w:rsidRPr="004D5E2D">
        <w:rPr>
          <w:rFonts w:eastAsia="Times New Roman"/>
          <w:szCs w:val="24"/>
          <w:lang w:eastAsia="pl-PL"/>
        </w:rPr>
        <w:t>lokalne szpitale obsługując</w:t>
      </w:r>
      <w:r>
        <w:rPr>
          <w:rFonts w:eastAsia="Times New Roman"/>
          <w:szCs w:val="24"/>
          <w:lang w:eastAsia="pl-PL"/>
        </w:rPr>
        <w:t>e wyłącznie lokalną ludność</w:t>
      </w:r>
      <w:r w:rsidRPr="004D5E2D">
        <w:rPr>
          <w:rFonts w:eastAsia="Times New Roman"/>
          <w:szCs w:val="24"/>
          <w:lang w:eastAsia="pl-PL"/>
        </w:rPr>
        <w:t>;</w:t>
      </w:r>
      <w:r>
        <w:rPr>
          <w:rFonts w:eastAsia="Times New Roman"/>
          <w:szCs w:val="24"/>
          <w:lang w:eastAsia="pl-PL"/>
        </w:rPr>
        <w:t xml:space="preserve"> </w:t>
      </w:r>
      <w:r w:rsidRPr="004D5E2D">
        <w:rPr>
          <w:rFonts w:eastAsia="Times New Roman"/>
          <w:szCs w:val="24"/>
          <w:lang w:eastAsia="pl-PL"/>
        </w:rPr>
        <w:t>lokalne muzea potencjalnie mało atrakcyjne dla zw</w:t>
      </w:r>
      <w:r>
        <w:rPr>
          <w:rFonts w:eastAsia="Times New Roman"/>
          <w:szCs w:val="24"/>
          <w:lang w:eastAsia="pl-PL"/>
        </w:rPr>
        <w:t>iedzających z innych państw</w:t>
      </w:r>
      <w:r w:rsidRPr="004D5E2D">
        <w:rPr>
          <w:rFonts w:eastAsia="Times New Roman"/>
          <w:szCs w:val="24"/>
          <w:lang w:eastAsia="pl-PL"/>
        </w:rPr>
        <w:t>; lokalne wydarzenia kulturalne, których potencjalna publiczność jest ograniczona do zasięgu lokalnego.</w:t>
      </w:r>
    </w:p>
    <w:p w:rsidR="007029F8" w:rsidRPr="004D5E2D" w:rsidRDefault="007029F8" w:rsidP="00706322">
      <w:pPr>
        <w:ind w:firstLine="708"/>
        <w:rPr>
          <w:rFonts w:eastAsia="Times New Roman"/>
          <w:szCs w:val="24"/>
          <w:lang w:eastAsia="pl-PL"/>
        </w:rPr>
      </w:pPr>
    </w:p>
    <w:p w:rsidR="00706322" w:rsidRDefault="00706322" w:rsidP="007029F8">
      <w:pPr>
        <w:spacing w:after="240"/>
        <w:rPr>
          <w:rFonts w:eastAsia="Times New Roman"/>
          <w:b/>
          <w:szCs w:val="24"/>
          <w:lang w:eastAsia="pl-PL"/>
        </w:rPr>
      </w:pPr>
      <w:r w:rsidRPr="007029F8">
        <w:rPr>
          <w:rFonts w:eastAsia="Times New Roman"/>
          <w:b/>
          <w:szCs w:val="24"/>
          <w:lang w:eastAsia="pl-PL"/>
        </w:rPr>
        <w:t>WARUNKI, ZGODNIE Z KTÓRYMI REKOMPENSATA Z TYTUŁU ŚWIADCZENIA USŁUG PUBLICZNYCH NIE STANOWI POMOCY PUBLICZNEJ.</w:t>
      </w:r>
    </w:p>
    <w:p w:rsidR="00CE4FC1" w:rsidRDefault="007029F8" w:rsidP="00A27DAE">
      <w:pPr>
        <w:spacing w:after="240"/>
        <w:ind w:firstLine="708"/>
        <w:rPr>
          <w:rFonts w:eastAsia="Times New Roman"/>
          <w:szCs w:val="24"/>
          <w:lang w:eastAsia="pl-PL"/>
        </w:rPr>
      </w:pPr>
      <w:r>
        <w:rPr>
          <w:rFonts w:eastAsia="Times New Roman"/>
          <w:szCs w:val="24"/>
          <w:lang w:eastAsia="pl-PL"/>
        </w:rPr>
        <w:t xml:space="preserve">Warunki te zostały określone </w:t>
      </w:r>
      <w:r w:rsidR="00EB69D3">
        <w:rPr>
          <w:rFonts w:eastAsia="Times New Roman"/>
          <w:szCs w:val="24"/>
          <w:lang w:eastAsia="pl-PL"/>
        </w:rPr>
        <w:t xml:space="preserve">w 2003 r. </w:t>
      </w:r>
      <w:r w:rsidR="00706322" w:rsidRPr="004D5E2D">
        <w:rPr>
          <w:rFonts w:eastAsia="Times New Roman"/>
          <w:szCs w:val="24"/>
          <w:lang w:eastAsia="pl-PL"/>
        </w:rPr>
        <w:t>wyrok</w:t>
      </w:r>
      <w:r>
        <w:rPr>
          <w:rFonts w:eastAsia="Times New Roman"/>
          <w:szCs w:val="24"/>
          <w:lang w:eastAsia="pl-PL"/>
        </w:rPr>
        <w:t xml:space="preserve">u </w:t>
      </w:r>
      <w:r w:rsidR="00706322" w:rsidRPr="004D5E2D">
        <w:rPr>
          <w:rFonts w:eastAsia="Times New Roman"/>
          <w:szCs w:val="24"/>
          <w:lang w:eastAsia="pl-PL"/>
        </w:rPr>
        <w:t>Trybunału Sprawiedliwości</w:t>
      </w:r>
      <w:r w:rsidR="00706322">
        <w:rPr>
          <w:rFonts w:eastAsia="Times New Roman"/>
          <w:szCs w:val="24"/>
          <w:lang w:eastAsia="pl-PL"/>
        </w:rPr>
        <w:t xml:space="preserve"> w sprawie </w:t>
      </w:r>
      <w:r w:rsidR="00706322" w:rsidRPr="00723E08">
        <w:rPr>
          <w:rFonts w:eastAsia="Times New Roman"/>
          <w:b/>
          <w:szCs w:val="24"/>
          <w:lang w:eastAsia="pl-PL"/>
        </w:rPr>
        <w:t xml:space="preserve">C-280/00 </w:t>
      </w:r>
      <w:proofErr w:type="spellStart"/>
      <w:r w:rsidR="00706322" w:rsidRPr="00723E08">
        <w:rPr>
          <w:rFonts w:eastAsia="Times New Roman"/>
          <w:b/>
          <w:szCs w:val="24"/>
          <w:lang w:eastAsia="pl-PL"/>
        </w:rPr>
        <w:t>Altmark</w:t>
      </w:r>
      <w:proofErr w:type="spellEnd"/>
      <w:r w:rsidR="00706322" w:rsidRPr="00723E08">
        <w:rPr>
          <w:rFonts w:eastAsia="Times New Roman"/>
          <w:b/>
          <w:szCs w:val="24"/>
          <w:lang w:eastAsia="pl-PL"/>
        </w:rPr>
        <w:t xml:space="preserve"> Trans </w:t>
      </w:r>
      <w:proofErr w:type="spellStart"/>
      <w:r w:rsidR="00706322" w:rsidRPr="00723E08">
        <w:rPr>
          <w:rFonts w:eastAsia="Times New Roman"/>
          <w:b/>
          <w:szCs w:val="24"/>
          <w:lang w:eastAsia="pl-PL"/>
        </w:rPr>
        <w:t>GmbH</w:t>
      </w:r>
      <w:proofErr w:type="spellEnd"/>
      <w:r w:rsidR="00706322" w:rsidRPr="00723E08">
        <w:rPr>
          <w:rFonts w:eastAsia="Times New Roman"/>
          <w:b/>
          <w:szCs w:val="24"/>
          <w:lang w:eastAsia="pl-PL"/>
        </w:rPr>
        <w:t xml:space="preserve"> i </w:t>
      </w:r>
      <w:proofErr w:type="spellStart"/>
      <w:r w:rsidR="00706322" w:rsidRPr="00723E08">
        <w:rPr>
          <w:rFonts w:eastAsia="Times New Roman"/>
          <w:b/>
          <w:szCs w:val="24"/>
          <w:lang w:eastAsia="pl-PL"/>
        </w:rPr>
        <w:t>Regierungspräsidium</w:t>
      </w:r>
      <w:proofErr w:type="spellEnd"/>
      <w:r w:rsidR="00706322" w:rsidRPr="00723E08">
        <w:rPr>
          <w:rFonts w:eastAsia="Times New Roman"/>
          <w:b/>
          <w:szCs w:val="24"/>
          <w:lang w:eastAsia="pl-PL"/>
        </w:rPr>
        <w:t xml:space="preserve"> Magdeburg przeciwko </w:t>
      </w:r>
      <w:proofErr w:type="spellStart"/>
      <w:r w:rsidR="00706322" w:rsidRPr="00723E08">
        <w:rPr>
          <w:rFonts w:eastAsia="Times New Roman"/>
          <w:b/>
          <w:szCs w:val="24"/>
          <w:lang w:eastAsia="pl-PL"/>
        </w:rPr>
        <w:t>Nahverkehrsgesellschaft</w:t>
      </w:r>
      <w:proofErr w:type="spellEnd"/>
      <w:r w:rsidR="00706322" w:rsidRPr="00723E08">
        <w:rPr>
          <w:rFonts w:eastAsia="Times New Roman"/>
          <w:b/>
          <w:szCs w:val="24"/>
          <w:lang w:eastAsia="pl-PL"/>
        </w:rPr>
        <w:t xml:space="preserve"> </w:t>
      </w:r>
      <w:proofErr w:type="spellStart"/>
      <w:r w:rsidR="00706322" w:rsidRPr="00723E08">
        <w:rPr>
          <w:rFonts w:eastAsia="Times New Roman"/>
          <w:b/>
          <w:szCs w:val="24"/>
          <w:lang w:eastAsia="pl-PL"/>
        </w:rPr>
        <w:t>Altmark</w:t>
      </w:r>
      <w:proofErr w:type="spellEnd"/>
      <w:r w:rsidR="00706322" w:rsidRPr="00723E08">
        <w:rPr>
          <w:rFonts w:eastAsia="Times New Roman"/>
          <w:b/>
          <w:szCs w:val="24"/>
          <w:lang w:eastAsia="pl-PL"/>
        </w:rPr>
        <w:t xml:space="preserve"> </w:t>
      </w:r>
      <w:proofErr w:type="spellStart"/>
      <w:r w:rsidR="00706322" w:rsidRPr="00723E08">
        <w:rPr>
          <w:rFonts w:eastAsia="Times New Roman"/>
          <w:b/>
          <w:szCs w:val="24"/>
          <w:lang w:eastAsia="pl-PL"/>
        </w:rPr>
        <w:t>GmbH</w:t>
      </w:r>
      <w:proofErr w:type="spellEnd"/>
      <w:r w:rsidR="00706322">
        <w:rPr>
          <w:rFonts w:eastAsia="Times New Roman"/>
          <w:szCs w:val="24"/>
          <w:lang w:eastAsia="pl-PL"/>
        </w:rPr>
        <w:t xml:space="preserve"> </w:t>
      </w:r>
      <w:r w:rsidR="00EB69D3">
        <w:rPr>
          <w:rFonts w:eastAsia="Times New Roman"/>
          <w:szCs w:val="24"/>
          <w:lang w:eastAsia="pl-PL"/>
        </w:rPr>
        <w:t>(</w:t>
      </w:r>
      <w:r w:rsidR="00706322">
        <w:rPr>
          <w:rFonts w:eastAsia="Times New Roman"/>
          <w:szCs w:val="24"/>
          <w:lang w:eastAsia="pl-PL"/>
        </w:rPr>
        <w:t>[2003] Rec. I-7747</w:t>
      </w:r>
      <w:r w:rsidR="00EB69D3">
        <w:rPr>
          <w:rFonts w:eastAsia="Times New Roman"/>
          <w:szCs w:val="24"/>
          <w:lang w:eastAsia="pl-PL"/>
        </w:rPr>
        <w:t>).</w:t>
      </w:r>
      <w:r w:rsidR="00706322">
        <w:rPr>
          <w:rFonts w:eastAsia="Times New Roman"/>
          <w:szCs w:val="24"/>
          <w:lang w:eastAsia="pl-PL"/>
        </w:rPr>
        <w:t xml:space="preserve"> </w:t>
      </w:r>
      <w:r w:rsidR="00CE4FC1">
        <w:rPr>
          <w:rFonts w:eastAsia="Times New Roman"/>
          <w:szCs w:val="24"/>
          <w:lang w:eastAsia="pl-PL"/>
        </w:rPr>
        <w:t>Trybunał stwierdził, że w</w:t>
      </w:r>
      <w:r w:rsidR="00706322" w:rsidRPr="004D5E2D">
        <w:rPr>
          <w:rFonts w:eastAsia="Times New Roman"/>
          <w:szCs w:val="24"/>
          <w:lang w:eastAsia="pl-PL"/>
        </w:rPr>
        <w:t xml:space="preserve"> zakresie, w jakim interwencję państwa należy uznać za rekompensatę stanowiącą świadczenie wzajemne za świadczenia przedsiębiorstw będących beneficjentami w celu wykonania zobowiązań do świadczenia usług publicznych, tak że przedsiębiorstwa te w rzeczywistości nie uzyskują z tego tytułu korzyści finansowych, interwencja ta nie mieści się w zakresie stosowania art. (107 ust. 1 T</w:t>
      </w:r>
      <w:r w:rsidR="00CE4FC1">
        <w:rPr>
          <w:rFonts w:eastAsia="Times New Roman"/>
          <w:szCs w:val="24"/>
          <w:lang w:eastAsia="pl-PL"/>
        </w:rPr>
        <w:t>raktatu</w:t>
      </w:r>
      <w:r w:rsidR="00A27DAE">
        <w:rPr>
          <w:rFonts w:eastAsia="Times New Roman"/>
          <w:szCs w:val="24"/>
          <w:lang w:eastAsia="pl-PL"/>
        </w:rPr>
        <w:t>).</w:t>
      </w:r>
    </w:p>
    <w:p w:rsidR="00706322" w:rsidRDefault="00706322" w:rsidP="00CE4FC1">
      <w:pPr>
        <w:rPr>
          <w:rFonts w:eastAsia="Times New Roman"/>
          <w:szCs w:val="24"/>
          <w:lang w:eastAsia="pl-PL"/>
        </w:rPr>
      </w:pPr>
      <w:r>
        <w:rPr>
          <w:rFonts w:eastAsia="Times New Roman"/>
          <w:szCs w:val="24"/>
          <w:lang w:eastAsia="pl-PL"/>
        </w:rPr>
        <w:t>Wymaga się jednak spełnienia następujących przesłanek:</w:t>
      </w:r>
    </w:p>
    <w:p w:rsidR="00706322" w:rsidRPr="00D45717" w:rsidRDefault="00706322" w:rsidP="00D45717">
      <w:pPr>
        <w:pStyle w:val="Akapitzlist"/>
        <w:numPr>
          <w:ilvl w:val="0"/>
          <w:numId w:val="3"/>
        </w:numPr>
        <w:rPr>
          <w:rFonts w:eastAsia="Times New Roman"/>
          <w:szCs w:val="24"/>
          <w:lang w:eastAsia="pl-PL"/>
        </w:rPr>
      </w:pPr>
      <w:r w:rsidRPr="00D45717">
        <w:rPr>
          <w:rFonts w:eastAsia="Times New Roman"/>
          <w:szCs w:val="24"/>
          <w:lang w:eastAsia="pl-PL"/>
        </w:rPr>
        <w:t>przedsiębiorstwo będące beneficjentem powinno być rzeczywiście obciążone wykonaniem zobowiązań do świadczenia usług publicznych i zobowiązania te powinny być jasno określone</w:t>
      </w:r>
      <w:r w:rsidR="00CE4FC1" w:rsidRPr="00D45717">
        <w:rPr>
          <w:rFonts w:eastAsia="Times New Roman"/>
          <w:szCs w:val="24"/>
          <w:lang w:eastAsia="pl-PL"/>
        </w:rPr>
        <w:t xml:space="preserve"> (</w:t>
      </w:r>
      <w:r w:rsidR="00CE4FC1" w:rsidRPr="00D45717">
        <w:rPr>
          <w:rFonts w:eastAsia="Times New Roman"/>
          <w:b/>
          <w:szCs w:val="24"/>
          <w:lang w:eastAsia="pl-PL"/>
        </w:rPr>
        <w:t>akt powierzenia</w:t>
      </w:r>
      <w:r w:rsidR="00CE4FC1" w:rsidRPr="00D45717">
        <w:rPr>
          <w:rFonts w:eastAsia="Times New Roman"/>
          <w:szCs w:val="24"/>
          <w:lang w:eastAsia="pl-PL"/>
        </w:rPr>
        <w:t>).</w:t>
      </w:r>
      <w:r w:rsidR="00D45717" w:rsidRPr="00D45717">
        <w:rPr>
          <w:rFonts w:eastAsia="Times New Roman"/>
          <w:szCs w:val="24"/>
          <w:lang w:eastAsia="pl-PL"/>
        </w:rPr>
        <w:t xml:space="preserve"> Zadanie z zakresu usług publicznych musi być powierzone w formie aktu, który w zależności od prawodawstwa w poszczególnych państwach członkowskich może przyjąć formę ustawy lub aktu niższego rzędu albo umowy. Komisja przyjęła, że taki akt musi określać treść i czas </w:t>
      </w:r>
      <w:r w:rsidR="00D45717" w:rsidRPr="00D45717">
        <w:rPr>
          <w:rFonts w:eastAsia="Times New Roman"/>
          <w:szCs w:val="24"/>
          <w:lang w:eastAsia="pl-PL"/>
        </w:rPr>
        <w:lastRenderedPageBreak/>
        <w:t>trwania zobowiązania z tytułu świadczenia usług publicznych; przedsiębiorstwo i w stosownych przypadkach odnośne terytorium; charakter wszelkich praw wyłącznych lub specjalnych przyznanych przedsiębiorstwu; parametry służące do obliczania, kontrolowania i przeglądu kwot rekompensaty; oraz ustalenia dotyczące unikania nadwyżki rekompensaty i jej zwrotu.</w:t>
      </w:r>
    </w:p>
    <w:p w:rsidR="00706322" w:rsidRPr="00D45717" w:rsidRDefault="00706322" w:rsidP="00D45717">
      <w:pPr>
        <w:pStyle w:val="Akapitzlist"/>
        <w:numPr>
          <w:ilvl w:val="0"/>
          <w:numId w:val="3"/>
        </w:numPr>
        <w:rPr>
          <w:rFonts w:eastAsia="Times New Roman"/>
          <w:szCs w:val="24"/>
          <w:lang w:eastAsia="pl-PL"/>
        </w:rPr>
      </w:pPr>
      <w:r w:rsidRPr="00D45717">
        <w:rPr>
          <w:rFonts w:eastAsia="Times New Roman"/>
          <w:b/>
          <w:szCs w:val="24"/>
          <w:lang w:eastAsia="pl-PL"/>
        </w:rPr>
        <w:t>parametry,</w:t>
      </w:r>
      <w:r w:rsidRPr="00D45717">
        <w:rPr>
          <w:rFonts w:eastAsia="Times New Roman"/>
          <w:szCs w:val="24"/>
          <w:lang w:eastAsia="pl-PL"/>
        </w:rPr>
        <w:t xml:space="preserve"> </w:t>
      </w:r>
      <w:r w:rsidRPr="00D45717">
        <w:rPr>
          <w:rFonts w:eastAsia="Times New Roman"/>
          <w:b/>
          <w:szCs w:val="24"/>
          <w:lang w:eastAsia="pl-PL"/>
        </w:rPr>
        <w:t>na</w:t>
      </w:r>
      <w:r w:rsidR="00D45717" w:rsidRPr="00D45717">
        <w:rPr>
          <w:rFonts w:eastAsia="Times New Roman"/>
          <w:b/>
          <w:szCs w:val="24"/>
          <w:lang w:eastAsia="pl-PL"/>
        </w:rPr>
        <w:t xml:space="preserve"> podstawie</w:t>
      </w:r>
      <w:r w:rsidRPr="00D45717">
        <w:rPr>
          <w:rFonts w:eastAsia="Times New Roman"/>
          <w:b/>
          <w:szCs w:val="24"/>
          <w:lang w:eastAsia="pl-PL"/>
        </w:rPr>
        <w:t xml:space="preserve"> których obliczona jest rekompensata, </w:t>
      </w:r>
      <w:r w:rsidRPr="00D45717">
        <w:rPr>
          <w:rFonts w:eastAsia="Times New Roman"/>
          <w:szCs w:val="24"/>
          <w:lang w:eastAsia="pl-PL"/>
        </w:rPr>
        <w:t xml:space="preserve">muszą być wcześniej ustalone w obiektywny i przejrzysty sposób, tak aby nie powodowała ona powstania dodatkowej korzyści ekonomicznej, która mogłaby powodować uprzywilejowanie przedsiębiorstwa będącego beneficjentem względem przedsiębiorstw z nim konkurujących. </w:t>
      </w:r>
      <w:r w:rsidR="00D45717" w:rsidRPr="00D45717">
        <w:rPr>
          <w:rFonts w:eastAsia="Times New Roman"/>
          <w:b/>
          <w:szCs w:val="24"/>
          <w:lang w:eastAsia="pl-PL"/>
        </w:rPr>
        <w:t>Rekompensata n</w:t>
      </w:r>
      <w:r w:rsidR="00D45717" w:rsidRPr="00D45717">
        <w:rPr>
          <w:rFonts w:eastAsia="Times New Roman"/>
          <w:szCs w:val="24"/>
          <w:lang w:eastAsia="pl-PL"/>
        </w:rPr>
        <w:t xml:space="preserve">ie może być wyższa niż kwota niezbędna do pokrycia wszystkich lub części kosztów poniesionych przy wywiązywaniu się ze zobowiązań z tytułu świadczenia usług publicznych, z uwzględnieniem uzyskiwanych przy tym wpływów i rozsądnego zysku. </w:t>
      </w:r>
      <w:r w:rsidR="00D45717" w:rsidRPr="00D45717">
        <w:rPr>
          <w:rFonts w:eastAsia="Times New Roman"/>
          <w:b/>
          <w:szCs w:val="24"/>
          <w:lang w:eastAsia="pl-PL"/>
        </w:rPr>
        <w:t xml:space="preserve">Rozsądny zysk </w:t>
      </w:r>
      <w:r w:rsidR="00D45717" w:rsidRPr="00D45717">
        <w:rPr>
          <w:rFonts w:eastAsia="Times New Roman"/>
          <w:szCs w:val="24"/>
          <w:lang w:eastAsia="pl-PL"/>
        </w:rPr>
        <w:t>należy rozumieć jako stopę zwrotu z kapitału, której zażądałoby typowe przedsiębiorstwo rozważające, czy podjąć się wykonywania danej usługi świadczonej w ogólnym interesie gospodarczym w całym okresie powierzenia, przy uwzględnieniu poziomu ryzyka. Poziom ryzyka zależy od sektora, rodzaju usługi i charakterystyki mechanizmu rekompensaty. Stopa ta powinna być w stosownych przypadkach ustalona poprzez odniesienie do stopy zwrotu z kapitału osiąganej przy podobnych rodzajach zamówień publicznych na usługi w warunkach konkurencyjnych (np. zamówień udzielonych w wyniku przetargu). Stopa zwrotu z kapitału oznacza wewnętrzną stopę zwrotu (ang. IRR), jaką przedsiębiorstwo osiąga z zainwestowanego kapitału w całym okresie realizacji projektu, tj. stopę IRR z przepływów pieniężnych w ramach danego zamówienia.</w:t>
      </w:r>
    </w:p>
    <w:p w:rsidR="00706322" w:rsidRPr="00CE4FC1" w:rsidRDefault="00706322" w:rsidP="00CE4FC1">
      <w:pPr>
        <w:pStyle w:val="Akapitzlist"/>
        <w:numPr>
          <w:ilvl w:val="0"/>
          <w:numId w:val="3"/>
        </w:numPr>
        <w:rPr>
          <w:rFonts w:eastAsia="Times New Roman"/>
          <w:szCs w:val="24"/>
          <w:lang w:eastAsia="pl-PL"/>
        </w:rPr>
      </w:pPr>
      <w:r w:rsidRPr="00D45717">
        <w:rPr>
          <w:rFonts w:eastAsia="Times New Roman"/>
          <w:b/>
          <w:szCs w:val="24"/>
          <w:lang w:eastAsia="pl-PL"/>
        </w:rPr>
        <w:t xml:space="preserve">rekompensata </w:t>
      </w:r>
      <w:r w:rsidRPr="00CE4FC1">
        <w:rPr>
          <w:rFonts w:eastAsia="Times New Roman"/>
          <w:szCs w:val="24"/>
          <w:lang w:eastAsia="pl-PL"/>
        </w:rPr>
        <w:t>nie może przekraczać kwoty niezbędnej do pokrycia całości lub części kosztów poniesionych w celu wykonania zobowiązań do świadczenia usług publicznych, przy uwzględnieniu związanych z nimi p</w:t>
      </w:r>
      <w:r w:rsidR="00D45717">
        <w:rPr>
          <w:rFonts w:eastAsia="Times New Roman"/>
          <w:szCs w:val="24"/>
          <w:lang w:eastAsia="pl-PL"/>
        </w:rPr>
        <w:t>rzychodów oraz rozsądnego zysku: (</w:t>
      </w:r>
      <w:r w:rsidR="00D45717">
        <w:rPr>
          <w:rFonts w:eastAsia="Times New Roman"/>
          <w:i/>
          <w:szCs w:val="24"/>
          <w:lang w:eastAsia="pl-PL"/>
        </w:rPr>
        <w:t>zob. pkt. 2)</w:t>
      </w:r>
      <w:r w:rsidR="00D45717">
        <w:rPr>
          <w:rFonts w:eastAsia="Times New Roman"/>
          <w:szCs w:val="24"/>
          <w:lang w:eastAsia="pl-PL"/>
        </w:rPr>
        <w:t>;</w:t>
      </w:r>
    </w:p>
    <w:p w:rsidR="00706322" w:rsidRPr="00CE4FC1" w:rsidRDefault="00706322" w:rsidP="00A27DAE">
      <w:pPr>
        <w:pStyle w:val="Akapitzlist"/>
        <w:numPr>
          <w:ilvl w:val="0"/>
          <w:numId w:val="3"/>
        </w:numPr>
        <w:spacing w:after="240"/>
        <w:rPr>
          <w:rFonts w:eastAsia="Times New Roman"/>
          <w:szCs w:val="24"/>
          <w:lang w:eastAsia="pl-PL"/>
        </w:rPr>
      </w:pPr>
      <w:r w:rsidRPr="00CE4FC1">
        <w:rPr>
          <w:rFonts w:eastAsia="Times New Roman"/>
          <w:szCs w:val="24"/>
          <w:lang w:eastAsia="pl-PL"/>
        </w:rPr>
        <w:t xml:space="preserve">jeżeli </w:t>
      </w:r>
      <w:r w:rsidRPr="00D45717">
        <w:rPr>
          <w:rFonts w:eastAsia="Times New Roman"/>
          <w:b/>
          <w:szCs w:val="24"/>
          <w:lang w:eastAsia="pl-PL"/>
        </w:rPr>
        <w:t>wybór przedsiębiorstwa</w:t>
      </w:r>
      <w:r w:rsidRPr="00CE4FC1">
        <w:rPr>
          <w:rFonts w:eastAsia="Times New Roman"/>
          <w:szCs w:val="24"/>
          <w:lang w:eastAsia="pl-PL"/>
        </w:rPr>
        <w:t xml:space="preserve">, któremu ma zostać powierzone wykonywanie zobowiązań do świadczenia usług publicznych, nie został dokonany w ramach procedury udzielania zamówień publicznych, poziom koniecznej rekompensaty powinien zostać ustalony na podstawie analizy kosztów, jakie przeciętne przedsiębiorstwo, prawidłowo zarządzane i wyposażone w środki transportu odpowiednio do tego, by móc uczynić zadość wymogom stawianym usługom </w:t>
      </w:r>
      <w:r w:rsidRPr="00CE4FC1">
        <w:rPr>
          <w:rFonts w:eastAsia="Times New Roman"/>
          <w:szCs w:val="24"/>
          <w:lang w:eastAsia="pl-PL"/>
        </w:rPr>
        <w:lastRenderedPageBreak/>
        <w:t>publicznym, poniosłoby na wykonanie takich zobowiązań, przy uwzględnieniu związanych z nimi przychodów oraz rozsądnego zysku osiąganego przy wypełnianiu tych zobowiązań</w:t>
      </w:r>
      <w:r w:rsidR="00D45717">
        <w:rPr>
          <w:rFonts w:eastAsia="Times New Roman"/>
          <w:szCs w:val="24"/>
          <w:lang w:eastAsia="pl-PL"/>
        </w:rPr>
        <w:t xml:space="preserve">. Preferowany jest wybór usługodawcy w drodze </w:t>
      </w:r>
      <w:r w:rsidR="00D45717" w:rsidRPr="004D5E2D">
        <w:rPr>
          <w:rFonts w:eastAsia="Times New Roman"/>
          <w:szCs w:val="24"/>
          <w:lang w:eastAsia="pl-PL"/>
        </w:rPr>
        <w:t>procedury zamówienia publicznego umożliwiającej wybór oferenta zdolnego świadczyć odnośne usługi po najniższym koszcie dla danej społeczności, albo wynikiem analizy porównawczej z typowym przedsiębiorstwem, dobrze zarządzanym i odpowiednio zaopatrzonym w niezbędne środki.</w:t>
      </w:r>
      <w:r w:rsidR="00D45717">
        <w:rPr>
          <w:rFonts w:eastAsia="Times New Roman"/>
          <w:szCs w:val="24"/>
          <w:lang w:eastAsia="pl-PL"/>
        </w:rPr>
        <w:t xml:space="preserve"> Najlepiej dla dokonania wyboru </w:t>
      </w:r>
      <w:r w:rsidR="00D45717" w:rsidRPr="004D5E2D">
        <w:rPr>
          <w:rFonts w:eastAsia="Times New Roman"/>
          <w:szCs w:val="24"/>
          <w:lang w:eastAsia="pl-PL"/>
        </w:rPr>
        <w:t>przeprowadzi</w:t>
      </w:r>
      <w:r w:rsidR="00D45717">
        <w:rPr>
          <w:rFonts w:eastAsia="Times New Roman"/>
          <w:szCs w:val="24"/>
          <w:lang w:eastAsia="pl-PL"/>
        </w:rPr>
        <w:t>ć</w:t>
      </w:r>
      <w:r w:rsidR="00D45717" w:rsidRPr="004D5E2D">
        <w:rPr>
          <w:rFonts w:eastAsia="Times New Roman"/>
          <w:szCs w:val="24"/>
          <w:lang w:eastAsia="pl-PL"/>
        </w:rPr>
        <w:t xml:space="preserve"> otwart</w:t>
      </w:r>
      <w:r w:rsidR="00D45717">
        <w:rPr>
          <w:rFonts w:eastAsia="Times New Roman"/>
          <w:szCs w:val="24"/>
          <w:lang w:eastAsia="pl-PL"/>
        </w:rPr>
        <w:t>ą</w:t>
      </w:r>
      <w:r w:rsidR="00D45717" w:rsidRPr="004D5E2D">
        <w:rPr>
          <w:rFonts w:eastAsia="Times New Roman"/>
          <w:szCs w:val="24"/>
          <w:lang w:eastAsia="pl-PL"/>
        </w:rPr>
        <w:t>, przejrzyst</w:t>
      </w:r>
      <w:r w:rsidR="00D45717">
        <w:rPr>
          <w:rFonts w:eastAsia="Times New Roman"/>
          <w:szCs w:val="24"/>
          <w:lang w:eastAsia="pl-PL"/>
        </w:rPr>
        <w:t>ą</w:t>
      </w:r>
      <w:r w:rsidR="00D45717" w:rsidRPr="004D5E2D">
        <w:rPr>
          <w:rFonts w:eastAsia="Times New Roman"/>
          <w:szCs w:val="24"/>
          <w:lang w:eastAsia="pl-PL"/>
        </w:rPr>
        <w:t xml:space="preserve"> i niedyskryminując</w:t>
      </w:r>
      <w:r w:rsidR="00D45717">
        <w:rPr>
          <w:rFonts w:eastAsia="Times New Roman"/>
          <w:szCs w:val="24"/>
          <w:lang w:eastAsia="pl-PL"/>
        </w:rPr>
        <w:t>ą</w:t>
      </w:r>
      <w:r w:rsidR="00D45717" w:rsidRPr="004D5E2D">
        <w:rPr>
          <w:rFonts w:eastAsia="Times New Roman"/>
          <w:szCs w:val="24"/>
          <w:lang w:eastAsia="pl-PL"/>
        </w:rPr>
        <w:t xml:space="preserve"> procedur</w:t>
      </w:r>
      <w:r w:rsidR="00D45717">
        <w:rPr>
          <w:rFonts w:eastAsia="Times New Roman"/>
          <w:szCs w:val="24"/>
          <w:lang w:eastAsia="pl-PL"/>
        </w:rPr>
        <w:t>ę</w:t>
      </w:r>
      <w:r w:rsidR="00D45717" w:rsidRPr="004D5E2D">
        <w:rPr>
          <w:rFonts w:eastAsia="Times New Roman"/>
          <w:szCs w:val="24"/>
          <w:lang w:eastAsia="pl-PL"/>
        </w:rPr>
        <w:t xml:space="preserve"> udzielenia zamówienia publicznego</w:t>
      </w:r>
      <w:r w:rsidR="00D45717">
        <w:rPr>
          <w:rFonts w:eastAsia="Times New Roman"/>
          <w:szCs w:val="24"/>
          <w:lang w:eastAsia="pl-PL"/>
        </w:rPr>
        <w:t>.</w:t>
      </w:r>
    </w:p>
    <w:p w:rsidR="00A27DAE" w:rsidRDefault="00706322" w:rsidP="00706322">
      <w:pPr>
        <w:rPr>
          <w:rFonts w:eastAsia="Times New Roman"/>
          <w:b/>
          <w:szCs w:val="24"/>
          <w:lang w:eastAsia="pl-PL"/>
        </w:rPr>
      </w:pPr>
      <w:r w:rsidRPr="004D5E2D">
        <w:rPr>
          <w:rFonts w:eastAsia="Times New Roman"/>
          <w:b/>
          <w:szCs w:val="24"/>
          <w:lang w:eastAsia="pl-PL"/>
        </w:rPr>
        <w:t>Kwota rekompensaty w przypadku</w:t>
      </w:r>
      <w:r w:rsidRPr="004D5E2D">
        <w:rPr>
          <w:rFonts w:eastAsia="Times New Roman"/>
          <w:szCs w:val="24"/>
          <w:lang w:eastAsia="pl-PL"/>
        </w:rPr>
        <w:t xml:space="preserve"> </w:t>
      </w:r>
      <w:r w:rsidRPr="004D5E2D">
        <w:rPr>
          <w:rFonts w:eastAsia="Times New Roman"/>
          <w:b/>
          <w:szCs w:val="24"/>
          <w:lang w:eastAsia="pl-PL"/>
        </w:rPr>
        <w:t xml:space="preserve">gdy </w:t>
      </w:r>
      <w:r w:rsidRPr="004D0A68">
        <w:rPr>
          <w:rFonts w:eastAsia="Times New Roman"/>
          <w:b/>
          <w:szCs w:val="24"/>
          <w:lang w:eastAsia="pl-PL"/>
        </w:rPr>
        <w:t xml:space="preserve">usługa publiczna </w:t>
      </w:r>
      <w:r w:rsidRPr="004D5E2D">
        <w:rPr>
          <w:rFonts w:eastAsia="Times New Roman"/>
          <w:b/>
          <w:szCs w:val="24"/>
          <w:lang w:eastAsia="pl-PL"/>
        </w:rPr>
        <w:t>nie jest powierzona w wyniku</w:t>
      </w:r>
      <w:r w:rsidRPr="004D5E2D">
        <w:rPr>
          <w:rFonts w:eastAsia="Times New Roman"/>
          <w:szCs w:val="24"/>
          <w:lang w:eastAsia="pl-PL"/>
        </w:rPr>
        <w:t xml:space="preserve"> </w:t>
      </w:r>
      <w:r w:rsidRPr="004D0A68">
        <w:rPr>
          <w:rFonts w:eastAsia="Times New Roman"/>
          <w:b/>
          <w:szCs w:val="24"/>
          <w:lang w:eastAsia="pl-PL"/>
        </w:rPr>
        <w:t>p</w:t>
      </w:r>
      <w:r w:rsidRPr="004D5E2D">
        <w:rPr>
          <w:rFonts w:eastAsia="Times New Roman"/>
          <w:b/>
          <w:szCs w:val="24"/>
          <w:lang w:eastAsia="pl-PL"/>
        </w:rPr>
        <w:t>rzetarg</w:t>
      </w:r>
      <w:r w:rsidRPr="004D0A68">
        <w:rPr>
          <w:rFonts w:eastAsia="Times New Roman"/>
          <w:b/>
          <w:szCs w:val="24"/>
          <w:lang w:eastAsia="pl-PL"/>
        </w:rPr>
        <w:t>u</w:t>
      </w:r>
    </w:p>
    <w:p w:rsidR="00706322" w:rsidRDefault="00A27DAE" w:rsidP="00706322">
      <w:pPr>
        <w:rPr>
          <w:rFonts w:eastAsia="Times New Roman"/>
          <w:szCs w:val="24"/>
          <w:lang w:eastAsia="pl-PL"/>
        </w:rPr>
      </w:pPr>
      <w:r>
        <w:rPr>
          <w:rFonts w:eastAsia="Times New Roman"/>
          <w:szCs w:val="24"/>
          <w:lang w:eastAsia="pl-PL"/>
        </w:rPr>
        <w:t>J</w:t>
      </w:r>
      <w:r w:rsidR="00706322" w:rsidRPr="004D0A68">
        <w:rPr>
          <w:rFonts w:eastAsia="Times New Roman"/>
          <w:szCs w:val="24"/>
          <w:lang w:eastAsia="pl-PL"/>
        </w:rPr>
        <w:t>est to wynagrodzenie rynkowe</w:t>
      </w:r>
      <w:r w:rsidR="00706322">
        <w:rPr>
          <w:rFonts w:eastAsia="Times New Roman"/>
          <w:b/>
          <w:szCs w:val="24"/>
          <w:lang w:eastAsia="pl-PL"/>
        </w:rPr>
        <w:t>.</w:t>
      </w:r>
      <w:r w:rsidR="00706322" w:rsidRPr="004D5E2D">
        <w:rPr>
          <w:rFonts w:eastAsia="Times New Roman"/>
          <w:szCs w:val="24"/>
          <w:lang w:eastAsia="pl-PL"/>
        </w:rPr>
        <w:t xml:space="preserve"> Jeśli nie istnieje takie wynagrodzenie, kwota rekompensaty musi być ustalona na podstawie analizy kosztów typowego przedsiębiorstwa, dobrze zarządzanego i odpowiednio wyposażonego w środki materialne umożliwiające mu spełnienie niezbędnych wymogów dotyczących usług publicznych, które przedsiębiorstwo to poniosłoby przy wywiązywaniu się z tych zobowiązań, z uwzględnieniem uzyskiwanych przy tym wpływów i rozsądnego zysku za wywiązywanie się z tych zobowiązań. </w:t>
      </w:r>
    </w:p>
    <w:p w:rsidR="00706322" w:rsidRPr="004D5E2D" w:rsidRDefault="00706322" w:rsidP="00706322">
      <w:pPr>
        <w:rPr>
          <w:rFonts w:eastAsia="Times New Roman"/>
          <w:szCs w:val="24"/>
          <w:lang w:eastAsia="pl-PL"/>
        </w:rPr>
      </w:pPr>
      <w:r w:rsidRPr="004D5E2D">
        <w:rPr>
          <w:rFonts w:eastAsia="Times New Roman"/>
          <w:szCs w:val="24"/>
          <w:lang w:eastAsia="pl-PL"/>
        </w:rPr>
        <w:t xml:space="preserve">Komisja jest zdania, że pojęcie "dobrze zarządzanego przedsiębiorstwa" wiąże się z przestrzeganiem obowiązujących krajowych, unijnych lub międzynarodowych standardów rachunkowości. Państwa członkowskie mogą oprzeć swoją analizę między innymi na wskaźnikach analitycznych typowych dla wydajności (takich jak stosunek obrotów do zaangażowanego kapitału, stosunek kosztów całkowitych do obrotów, obroty przypadające na pracownika, wartość dodana przypadająca na pracownika lub stosunek kosztów personelu do wartości dodanej). Państwa członkowskie mogą również zastosować wskaźniki analityczne dotyczące jakości podaży w porównaniu z oczekiwaniami użytkowników. </w:t>
      </w:r>
    </w:p>
    <w:p w:rsidR="00706322" w:rsidRPr="004D5E2D" w:rsidRDefault="00706322" w:rsidP="00706322">
      <w:pPr>
        <w:ind w:firstLine="708"/>
        <w:rPr>
          <w:rFonts w:eastAsia="Times New Roman"/>
          <w:szCs w:val="24"/>
          <w:lang w:eastAsia="pl-PL"/>
        </w:rPr>
      </w:pPr>
      <w:r w:rsidRPr="004D5E2D">
        <w:rPr>
          <w:rFonts w:eastAsia="Times New Roman"/>
          <w:szCs w:val="24"/>
          <w:lang w:eastAsia="pl-PL"/>
        </w:rPr>
        <w:t xml:space="preserve">Odniesienie do kosztów "typowego" przedsiębiorstwa w odnośnym sektorze oznacza, że istnieje wystarczająca liczba przedsiębiorstw, których koszty można uwzględnić. Przedsiębiorstwa te mogą być zlokalizowane w tym samym państwie członkowskim lub w innych państwach członkowskich. Komisja jest jednak zdania, że nie można dokonywać odniesienia do kosztów przedsiębiorstwa, które ma pozycję monopolisty lub otrzymuje rekompensatę z tytułu świadczenia usług publicznych przyznaną na warunkach, które nie są zgodne z prawem Unii, ponieważ w obu przypadkach koszty mogą przewyższać koszty normalne. </w:t>
      </w:r>
    </w:p>
    <w:sectPr w:rsidR="00706322" w:rsidRPr="004D5E2D" w:rsidSect="00D407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A38D4"/>
    <w:multiLevelType w:val="hybridMultilevel"/>
    <w:tmpl w:val="BDEA3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8445F9C"/>
    <w:multiLevelType w:val="hybridMultilevel"/>
    <w:tmpl w:val="80FCA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9F259AA"/>
    <w:multiLevelType w:val="hybridMultilevel"/>
    <w:tmpl w:val="00BCA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9B741F5"/>
    <w:multiLevelType w:val="hybridMultilevel"/>
    <w:tmpl w:val="A1DAD81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06322"/>
    <w:rsid w:val="001A6318"/>
    <w:rsid w:val="007029F8"/>
    <w:rsid w:val="00706322"/>
    <w:rsid w:val="00723E08"/>
    <w:rsid w:val="00797E93"/>
    <w:rsid w:val="007B47B8"/>
    <w:rsid w:val="00A27DAE"/>
    <w:rsid w:val="00CC5AEC"/>
    <w:rsid w:val="00CE4FC1"/>
    <w:rsid w:val="00D40738"/>
    <w:rsid w:val="00D45717"/>
    <w:rsid w:val="00EB69D3"/>
    <w:rsid w:val="00ED27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AEC"/>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06322"/>
    <w:pPr>
      <w:spacing w:before="100" w:beforeAutospacing="1" w:after="100" w:afterAutospacing="1" w:line="240" w:lineRule="auto"/>
      <w:jc w:val="left"/>
    </w:pPr>
    <w:rPr>
      <w:rFonts w:eastAsia="Times New Roman" w:cs="Times New Roman"/>
      <w:szCs w:val="24"/>
      <w:lang w:eastAsia="pl-PL"/>
    </w:rPr>
  </w:style>
  <w:style w:type="paragraph" w:styleId="Akapitzlist">
    <w:name w:val="List Paragraph"/>
    <w:basedOn w:val="Normalny"/>
    <w:uiPriority w:val="34"/>
    <w:qFormat/>
    <w:rsid w:val="00CE4F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1747</Words>
  <Characters>10482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8</cp:revision>
  <dcterms:created xsi:type="dcterms:W3CDTF">2020-04-08T17:13:00Z</dcterms:created>
  <dcterms:modified xsi:type="dcterms:W3CDTF">2020-04-08T19:35:00Z</dcterms:modified>
</cp:coreProperties>
</file>