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A2CE83" w14:textId="077F45B4" w:rsidR="00925F88" w:rsidRPr="00985E92" w:rsidRDefault="00925F88">
      <w:pPr>
        <w:rPr>
          <w:b/>
          <w:bCs/>
        </w:rPr>
      </w:pPr>
      <w:r w:rsidRPr="00985E92">
        <w:rPr>
          <w:b/>
          <w:bCs/>
        </w:rPr>
        <w:t>SNP IV/SSA(3)II/SNA(3)II</w:t>
      </w:r>
    </w:p>
    <w:p w14:paraId="32043DCE" w14:textId="3C761F7D" w:rsidR="00FC6DAD" w:rsidRPr="00925F88" w:rsidRDefault="00925F88">
      <w:pPr>
        <w:rPr>
          <w:b/>
          <w:bCs/>
        </w:rPr>
      </w:pPr>
      <w:r w:rsidRPr="00925F88">
        <w:rPr>
          <w:b/>
          <w:bCs/>
        </w:rPr>
        <w:t>Odpowiedzialność materialna</w:t>
      </w:r>
    </w:p>
    <w:p w14:paraId="23FE53CD" w14:textId="6DC5E741" w:rsidR="00925F88" w:rsidRPr="00925F88" w:rsidRDefault="00925F88">
      <w:pPr>
        <w:rPr>
          <w:b/>
          <w:bCs/>
        </w:rPr>
      </w:pPr>
      <w:r w:rsidRPr="00925F88">
        <w:rPr>
          <w:b/>
          <w:bCs/>
        </w:rPr>
        <w:t>Zagadnienia szczegółowe</w:t>
      </w:r>
    </w:p>
    <w:p w14:paraId="5C459675" w14:textId="77777777" w:rsidR="00925F88" w:rsidRDefault="00925F88"/>
    <w:p w14:paraId="6452A673" w14:textId="4ECCE47C" w:rsidR="00925F88" w:rsidRDefault="00925F88" w:rsidP="00985E92">
      <w:pPr>
        <w:pStyle w:val="Akapitzlist"/>
        <w:numPr>
          <w:ilvl w:val="0"/>
          <w:numId w:val="1"/>
        </w:numPr>
      </w:pPr>
      <w:r>
        <w:t>Odpowiedzialność materialna na zasadach ogólnych – przesłanki</w:t>
      </w:r>
    </w:p>
    <w:p w14:paraId="2A0B3EAE" w14:textId="29D7A5C4" w:rsidR="00925F88" w:rsidRDefault="00925F88" w:rsidP="00985E92">
      <w:pPr>
        <w:pStyle w:val="Akapitzlist"/>
        <w:numPr>
          <w:ilvl w:val="0"/>
          <w:numId w:val="1"/>
        </w:numPr>
      </w:pPr>
      <w:r>
        <w:t>Pojęcie i zakres szkody</w:t>
      </w:r>
    </w:p>
    <w:p w14:paraId="50FF0AB9" w14:textId="710E8B8B" w:rsidR="00925F88" w:rsidRDefault="00925F88" w:rsidP="00985E92">
      <w:pPr>
        <w:pStyle w:val="Akapitzlist"/>
        <w:numPr>
          <w:ilvl w:val="0"/>
          <w:numId w:val="1"/>
        </w:numPr>
      </w:pPr>
      <w:r>
        <w:t>Bezprawność działania pracownika. Okoliczności wyłączające bezprawność.</w:t>
      </w:r>
    </w:p>
    <w:p w14:paraId="642D5B1B" w14:textId="68B6FF69" w:rsidR="00925F88" w:rsidRDefault="00925F88" w:rsidP="00985E92">
      <w:pPr>
        <w:pStyle w:val="Akapitzlist"/>
        <w:numPr>
          <w:ilvl w:val="0"/>
          <w:numId w:val="1"/>
        </w:numPr>
      </w:pPr>
      <w:r>
        <w:t>Wina nieumyślna - pojęcie i zakres. Okoliczności wyłączające winę nieumyślną.</w:t>
      </w:r>
    </w:p>
    <w:p w14:paraId="713231C8" w14:textId="08F2303B" w:rsidR="00925F88" w:rsidRDefault="00925F88" w:rsidP="00985E92">
      <w:pPr>
        <w:pStyle w:val="Akapitzlist"/>
        <w:numPr>
          <w:ilvl w:val="0"/>
          <w:numId w:val="1"/>
        </w:numPr>
      </w:pPr>
      <w:r>
        <w:t>Związek przyczynowy. Okoliczności ograniczające odpowiedzialność pracownika za szkodę.</w:t>
      </w:r>
    </w:p>
    <w:p w14:paraId="4E310ADE" w14:textId="165F060D" w:rsidR="00925F88" w:rsidRDefault="00925F88" w:rsidP="00985E92">
      <w:pPr>
        <w:pStyle w:val="Akapitzlist"/>
        <w:numPr>
          <w:ilvl w:val="0"/>
          <w:numId w:val="1"/>
        </w:numPr>
      </w:pPr>
      <w:r>
        <w:t>Ubytki naturalne – konsekwencje.</w:t>
      </w:r>
    </w:p>
    <w:p w14:paraId="7FE2D0E2" w14:textId="0B3899DA" w:rsidR="00925F88" w:rsidRDefault="00925F88" w:rsidP="00985E92">
      <w:pPr>
        <w:pStyle w:val="Akapitzlist"/>
        <w:numPr>
          <w:ilvl w:val="0"/>
          <w:numId w:val="1"/>
        </w:numPr>
      </w:pPr>
      <w:r>
        <w:t>Normalne zużycie rzeczy</w:t>
      </w:r>
      <w:r>
        <w:t>– konsekwencje.</w:t>
      </w:r>
    </w:p>
    <w:p w14:paraId="157309DA" w14:textId="55850195" w:rsidR="00925F88" w:rsidRDefault="00925F88" w:rsidP="00985E92">
      <w:pPr>
        <w:pStyle w:val="Akapitzlist"/>
        <w:numPr>
          <w:ilvl w:val="0"/>
          <w:numId w:val="1"/>
        </w:numPr>
      </w:pPr>
      <w:r>
        <w:t xml:space="preserve">Działanie w granicach uzasadnionego ryzyka </w:t>
      </w:r>
      <w:r>
        <w:t>– konsekwencje.</w:t>
      </w:r>
    </w:p>
    <w:p w14:paraId="6A9A977B" w14:textId="2BF22903" w:rsidR="00925F88" w:rsidRDefault="00925F88" w:rsidP="00985E92">
      <w:pPr>
        <w:pStyle w:val="Akapitzlist"/>
        <w:numPr>
          <w:ilvl w:val="0"/>
          <w:numId w:val="1"/>
        </w:numPr>
      </w:pPr>
      <w:r>
        <w:t xml:space="preserve">Szkoda wyrządzona w związku z normalnym działaniem pracodawcy </w:t>
      </w:r>
      <w:r>
        <w:t>– konsekwencje.</w:t>
      </w:r>
    </w:p>
    <w:p w14:paraId="2E265488" w14:textId="68D33056" w:rsidR="00925F88" w:rsidRDefault="00925F88" w:rsidP="00985E92">
      <w:pPr>
        <w:pStyle w:val="Akapitzlist"/>
        <w:numPr>
          <w:ilvl w:val="0"/>
          <w:numId w:val="1"/>
        </w:numPr>
      </w:pPr>
      <w:r>
        <w:t>Ciężar dowodu.</w:t>
      </w:r>
    </w:p>
    <w:p w14:paraId="56DF09E0" w14:textId="39723772" w:rsidR="00925F88" w:rsidRDefault="00925F88" w:rsidP="00985E92">
      <w:pPr>
        <w:pStyle w:val="Akapitzlist"/>
        <w:numPr>
          <w:ilvl w:val="0"/>
          <w:numId w:val="1"/>
        </w:numPr>
      </w:pPr>
      <w:r>
        <w:t>Sposób wyrównania szkody pracodawcy</w:t>
      </w:r>
    </w:p>
    <w:p w14:paraId="5D5C67EA" w14:textId="4979EB37" w:rsidR="00925F88" w:rsidRDefault="00925F88" w:rsidP="00985E92">
      <w:pPr>
        <w:pStyle w:val="Akapitzlist"/>
        <w:numPr>
          <w:ilvl w:val="0"/>
          <w:numId w:val="1"/>
        </w:numPr>
      </w:pPr>
      <w:r>
        <w:t>Odszkodowanie -</w:t>
      </w:r>
      <w:r w:rsidRPr="00925F88">
        <w:t xml:space="preserve"> </w:t>
      </w:r>
      <w:r>
        <w:t>na zasadach ogólnych</w:t>
      </w:r>
      <w:r>
        <w:t>.</w:t>
      </w:r>
    </w:p>
    <w:p w14:paraId="65418461" w14:textId="01431B96" w:rsidR="00925F88" w:rsidRDefault="00925F88" w:rsidP="00985E92">
      <w:pPr>
        <w:pStyle w:val="Akapitzlist"/>
        <w:numPr>
          <w:ilvl w:val="0"/>
          <w:numId w:val="1"/>
        </w:numPr>
      </w:pPr>
      <w:r>
        <w:t>Mechanizmy ograniczenia wysokości odszkodowania przy o</w:t>
      </w:r>
      <w:r w:rsidRPr="00925F88">
        <w:t>dpowiedzialnoś</w:t>
      </w:r>
      <w:r>
        <w:t>ci</w:t>
      </w:r>
      <w:r w:rsidRPr="00925F88">
        <w:t xml:space="preserve"> materialn</w:t>
      </w:r>
      <w:r>
        <w:t>ej</w:t>
      </w:r>
      <w:r w:rsidRPr="00925F88">
        <w:t xml:space="preserve"> na zasadach ogólnych</w:t>
      </w:r>
      <w:r>
        <w:t>.</w:t>
      </w:r>
    </w:p>
    <w:p w14:paraId="5B639D7E" w14:textId="764744BB" w:rsidR="00925F88" w:rsidRDefault="00925F88" w:rsidP="00985E92">
      <w:pPr>
        <w:pStyle w:val="Akapitzlist"/>
        <w:numPr>
          <w:ilvl w:val="0"/>
          <w:numId w:val="1"/>
        </w:numPr>
      </w:pPr>
      <w:r>
        <w:t>Wysokość odszkodowania</w:t>
      </w:r>
      <w:r w:rsidRPr="00925F88">
        <w:t xml:space="preserve"> za szkodę wyrządzoną z winy </w:t>
      </w:r>
      <w:r>
        <w:t>nie</w:t>
      </w:r>
      <w:r w:rsidRPr="00925F88">
        <w:t>umyślnej</w:t>
      </w:r>
      <w:r>
        <w:t xml:space="preserve"> wyrządzoną przez kilku pracowników</w:t>
      </w:r>
    </w:p>
    <w:p w14:paraId="01553245" w14:textId="040CFD0C" w:rsidR="00925F88" w:rsidRDefault="00925F88" w:rsidP="00985E92">
      <w:pPr>
        <w:pStyle w:val="Akapitzlist"/>
        <w:numPr>
          <w:ilvl w:val="0"/>
          <w:numId w:val="1"/>
        </w:numPr>
      </w:pPr>
      <w:r>
        <w:t>Odpowiedzialność materialna za szkodę wyrządzoną z winy umyślnej.</w:t>
      </w:r>
    </w:p>
    <w:p w14:paraId="01546ADD" w14:textId="6759129B" w:rsidR="00925F88" w:rsidRDefault="00925F88" w:rsidP="00985E92">
      <w:pPr>
        <w:pStyle w:val="Akapitzlist"/>
        <w:numPr>
          <w:ilvl w:val="0"/>
          <w:numId w:val="1"/>
        </w:numPr>
      </w:pPr>
      <w:r>
        <w:t>W</w:t>
      </w:r>
      <w:r>
        <w:t>ysoko</w:t>
      </w:r>
      <w:r>
        <w:t>ść</w:t>
      </w:r>
      <w:r>
        <w:t xml:space="preserve"> odszkodowania</w:t>
      </w:r>
      <w:r w:rsidRPr="00925F88">
        <w:t xml:space="preserve"> </w:t>
      </w:r>
      <w:r w:rsidRPr="00925F88">
        <w:t>za szkodę wyrządzoną z winy umyślnej</w:t>
      </w:r>
      <w:r>
        <w:t>.</w:t>
      </w:r>
    </w:p>
    <w:p w14:paraId="4E39EFC8" w14:textId="6724208B" w:rsidR="00925F88" w:rsidRDefault="00925F88" w:rsidP="00985E92">
      <w:pPr>
        <w:pStyle w:val="Akapitzlist"/>
        <w:numPr>
          <w:ilvl w:val="0"/>
          <w:numId w:val="1"/>
        </w:numPr>
      </w:pPr>
      <w:r>
        <w:t>Wysokość odszkodowania</w:t>
      </w:r>
      <w:r w:rsidRPr="00925F88">
        <w:t xml:space="preserve"> za szkodę wyrządzoną z winy umyślnej</w:t>
      </w:r>
      <w:r>
        <w:t xml:space="preserve"> wyrządzoną przez kilku pracowników</w:t>
      </w:r>
    </w:p>
    <w:p w14:paraId="5F2BB4D9" w14:textId="5B1966F0" w:rsidR="00925F88" w:rsidRDefault="00925F88" w:rsidP="00985E92">
      <w:pPr>
        <w:pStyle w:val="Akapitzlist"/>
        <w:numPr>
          <w:ilvl w:val="0"/>
          <w:numId w:val="1"/>
        </w:numPr>
      </w:pPr>
      <w:r>
        <w:t>Odpowiedzialność za szkodę materialną wyrządzoną przez pracownika osobie trzeciej przy okazji wykonywania obowiązków pracowniczych</w:t>
      </w:r>
    </w:p>
    <w:p w14:paraId="1F283D86" w14:textId="74AE9691" w:rsidR="00925F88" w:rsidRDefault="00925F88" w:rsidP="00985E92">
      <w:pPr>
        <w:pStyle w:val="Akapitzlist"/>
        <w:numPr>
          <w:ilvl w:val="0"/>
          <w:numId w:val="1"/>
        </w:numPr>
      </w:pPr>
      <w:r>
        <w:t>Odpowiedzialność za szkodę materialną wyrządzoną przez pracownika osobie trzeciej przy  wykonywania obowiązków pracowniczych</w:t>
      </w:r>
    </w:p>
    <w:p w14:paraId="788EF3B4" w14:textId="234EB361" w:rsidR="00925F88" w:rsidRDefault="00985E92" w:rsidP="00985E92">
      <w:pPr>
        <w:pStyle w:val="Akapitzlist"/>
        <w:numPr>
          <w:ilvl w:val="0"/>
          <w:numId w:val="1"/>
        </w:numPr>
      </w:pPr>
      <w:r>
        <w:t>Odpowiedzialność za mienie powierzone.</w:t>
      </w:r>
    </w:p>
    <w:p w14:paraId="5F6ACF34" w14:textId="24784849" w:rsidR="00985E92" w:rsidRDefault="00985E92" w:rsidP="00985E92">
      <w:pPr>
        <w:pStyle w:val="Akapitzlist"/>
        <w:numPr>
          <w:ilvl w:val="0"/>
          <w:numId w:val="1"/>
        </w:numPr>
      </w:pPr>
      <w:r>
        <w:t>Wspólna o</w:t>
      </w:r>
      <w:r>
        <w:t>dpowiedzialność za mienie powierzone.</w:t>
      </w:r>
    </w:p>
    <w:p w14:paraId="35373E94" w14:textId="121E9263" w:rsidR="00985E92" w:rsidRDefault="00985E92" w:rsidP="00985E92">
      <w:pPr>
        <w:pStyle w:val="Akapitzlist"/>
        <w:numPr>
          <w:ilvl w:val="0"/>
          <w:numId w:val="1"/>
        </w:numPr>
      </w:pPr>
      <w:r>
        <w:t>Zastosowanie o</w:t>
      </w:r>
      <w:r>
        <w:t>dpowiedzialnoś</w:t>
      </w:r>
      <w:r>
        <w:t>ci</w:t>
      </w:r>
      <w:r>
        <w:t xml:space="preserve"> za mienie powierzone.</w:t>
      </w:r>
      <w:r w:rsidRPr="00985E92">
        <w:t xml:space="preserve"> </w:t>
      </w:r>
      <w:r>
        <w:t>Nieprawidłowe z</w:t>
      </w:r>
      <w:r>
        <w:t>astosowanie odpowiedzialności za mienie powierzone.</w:t>
      </w:r>
    </w:p>
    <w:p w14:paraId="1DE6BA24" w14:textId="02FC6F7A" w:rsidR="00985E92" w:rsidRDefault="00985E92" w:rsidP="00985E92">
      <w:pPr>
        <w:pStyle w:val="Akapitzlist"/>
        <w:numPr>
          <w:ilvl w:val="0"/>
          <w:numId w:val="1"/>
        </w:numPr>
      </w:pPr>
      <w:r>
        <w:t>Prawidłowe powierzenie mienia - na czym polega?</w:t>
      </w:r>
    </w:p>
    <w:p w14:paraId="294D5D1C" w14:textId="34852AF3" w:rsidR="00985E92" w:rsidRDefault="00985E92" w:rsidP="00985E92">
      <w:pPr>
        <w:pStyle w:val="Akapitzlist"/>
        <w:numPr>
          <w:ilvl w:val="0"/>
          <w:numId w:val="1"/>
        </w:numPr>
      </w:pPr>
      <w:r>
        <w:t xml:space="preserve">Odszkodowanie w przypadku </w:t>
      </w:r>
      <w:r>
        <w:t>odpowiedzialności za mienie powierzone</w:t>
      </w:r>
      <w:r>
        <w:t>.</w:t>
      </w:r>
    </w:p>
    <w:p w14:paraId="73CD836B" w14:textId="437B7FA2" w:rsidR="00985E92" w:rsidRDefault="00985E92" w:rsidP="00985E92">
      <w:pPr>
        <w:pStyle w:val="Akapitzlist"/>
        <w:numPr>
          <w:ilvl w:val="0"/>
          <w:numId w:val="1"/>
        </w:numPr>
      </w:pPr>
      <w:r>
        <w:t>Obrona pracownika przed konsekwencjami szkody w mieniu powierzonym.</w:t>
      </w:r>
    </w:p>
    <w:p w14:paraId="73DC3168" w14:textId="46DB73F8" w:rsidR="00985E92" w:rsidRDefault="00985E92" w:rsidP="00985E92">
      <w:pPr>
        <w:pStyle w:val="Akapitzlist"/>
        <w:numPr>
          <w:ilvl w:val="0"/>
          <w:numId w:val="1"/>
        </w:numPr>
      </w:pPr>
      <w:r>
        <w:t xml:space="preserve">Ciężar dowodu w przypadku </w:t>
      </w:r>
      <w:r>
        <w:t>odpowiedzialności za mienie powierzone</w:t>
      </w:r>
    </w:p>
    <w:p w14:paraId="5A933253" w14:textId="77777777" w:rsidR="00985E92" w:rsidRDefault="00985E92" w:rsidP="00985E92"/>
    <w:p w14:paraId="1D44472A" w14:textId="23688DD5" w:rsidR="00985E92" w:rsidRDefault="00985E92"/>
    <w:sectPr w:rsidR="00985E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1C80C4" w14:textId="77777777" w:rsidR="001D6115" w:rsidRDefault="001D6115" w:rsidP="00925F88">
      <w:pPr>
        <w:spacing w:after="0" w:line="240" w:lineRule="auto"/>
      </w:pPr>
      <w:r>
        <w:separator/>
      </w:r>
    </w:p>
  </w:endnote>
  <w:endnote w:type="continuationSeparator" w:id="0">
    <w:p w14:paraId="1DC95DFC" w14:textId="77777777" w:rsidR="001D6115" w:rsidRDefault="001D6115" w:rsidP="00925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707FD6" w14:textId="77777777" w:rsidR="001D6115" w:rsidRDefault="001D6115" w:rsidP="00925F88">
      <w:pPr>
        <w:spacing w:after="0" w:line="240" w:lineRule="auto"/>
      </w:pPr>
      <w:r>
        <w:separator/>
      </w:r>
    </w:p>
  </w:footnote>
  <w:footnote w:type="continuationSeparator" w:id="0">
    <w:p w14:paraId="45A99916" w14:textId="77777777" w:rsidR="001D6115" w:rsidRDefault="001D6115" w:rsidP="00925F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E668E4"/>
    <w:multiLevelType w:val="hybridMultilevel"/>
    <w:tmpl w:val="837A50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F88"/>
    <w:rsid w:val="001D6115"/>
    <w:rsid w:val="00925F88"/>
    <w:rsid w:val="00985E92"/>
    <w:rsid w:val="00FC6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6A5F0"/>
  <w15:chartTrackingRefBased/>
  <w15:docId w15:val="{A116794F-67F2-467A-9CC1-15CAD7377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25F8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25F8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25F88"/>
    <w:rPr>
      <w:vertAlign w:val="superscript"/>
    </w:rPr>
  </w:style>
  <w:style w:type="paragraph" w:styleId="Akapitzlist">
    <w:name w:val="List Paragraph"/>
    <w:basedOn w:val="Normalny"/>
    <w:uiPriority w:val="34"/>
    <w:qFormat/>
    <w:rsid w:val="00985E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262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Borowicz</dc:creator>
  <cp:keywords/>
  <dc:description/>
  <cp:lastModifiedBy>Jacek Borowicz</cp:lastModifiedBy>
  <cp:revision>1</cp:revision>
  <dcterms:created xsi:type="dcterms:W3CDTF">2020-06-02T12:24:00Z</dcterms:created>
  <dcterms:modified xsi:type="dcterms:W3CDTF">2020-06-02T12:38:00Z</dcterms:modified>
</cp:coreProperties>
</file>