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17" w:rsidRDefault="00501317" w:rsidP="00501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REGIONALNA W UE</w:t>
      </w:r>
    </w:p>
    <w:p w:rsidR="00FF0A9D" w:rsidRDefault="00FF0A9D" w:rsidP="00501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0A9D" w:rsidRPr="00524A37" w:rsidRDefault="00FF0A9D" w:rsidP="00FF0A9D">
      <w:pPr>
        <w:pStyle w:val="NormalnyWeb"/>
        <w:spacing w:before="0" w:after="0" w:line="360" w:lineRule="auto"/>
        <w:jc w:val="both"/>
        <w:rPr>
          <w:b/>
        </w:rPr>
      </w:pPr>
      <w:r w:rsidRPr="00524A37">
        <w:rPr>
          <w:b/>
        </w:rPr>
        <w:t xml:space="preserve">Pomoc regionalna w </w:t>
      </w:r>
      <w:r>
        <w:rPr>
          <w:b/>
        </w:rPr>
        <w:t xml:space="preserve">nowym </w:t>
      </w:r>
      <w:r w:rsidRPr="00524A37">
        <w:rPr>
          <w:b/>
        </w:rPr>
        <w:t>rozporządzeniu w sprawie wyłączeń grupowych pomocy.</w:t>
      </w:r>
    </w:p>
    <w:p w:rsidR="00F877F0" w:rsidRDefault="00F877F0" w:rsidP="00FF0A9D">
      <w:pPr>
        <w:spacing w:after="0" w:line="360" w:lineRule="auto"/>
        <w:ind w:firstLine="708"/>
        <w:jc w:val="both"/>
        <w:rPr>
          <w:rStyle w:val="nolink"/>
          <w:rFonts w:ascii="Times New Roman" w:hAnsi="Times New Roman"/>
          <w:sz w:val="24"/>
          <w:szCs w:val="24"/>
        </w:rPr>
      </w:pPr>
    </w:p>
    <w:p w:rsidR="00FF0A9D" w:rsidRDefault="00FF0A9D" w:rsidP="00FF0A9D">
      <w:pPr>
        <w:spacing w:after="0" w:line="360" w:lineRule="auto"/>
        <w:ind w:firstLine="708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>Rozporządzenie ogólne Komisji nr 651/2014 rozszerza zakres i zmienia warunki udzielania dozwolonej pomocy. Szacuje się, że w przyszłości 90% przyznawanych środków pomocy publicznej skoncentruje się na pomocy objętej wyłączeniem grupowym. Kategorie dozwolonej pomocy w rozporządzeniu nr 651/2014:</w:t>
      </w:r>
    </w:p>
    <w:p w:rsidR="00FF0A9D" w:rsidRDefault="00FF0A9D" w:rsidP="00FF0A9D">
      <w:pPr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 xml:space="preserve">1) </w:t>
      </w:r>
      <w:r w:rsidR="00F877F0">
        <w:rPr>
          <w:rStyle w:val="nolink"/>
          <w:rFonts w:ascii="Times New Roman" w:hAnsi="Times New Roman"/>
          <w:sz w:val="24"/>
          <w:szCs w:val="24"/>
        </w:rPr>
        <w:t xml:space="preserve">„stare” kategorie pomocy - </w:t>
      </w:r>
      <w:r>
        <w:rPr>
          <w:rStyle w:val="nolink"/>
          <w:rFonts w:ascii="Times New Roman" w:hAnsi="Times New Roman"/>
          <w:sz w:val="24"/>
          <w:szCs w:val="24"/>
        </w:rPr>
        <w:t>pomoc regionalna, dla małych i średnich przedsiębiorstw, na ochronę środowiska, na badania i rozwój, szkoleniowa, na rekrutację i zatrudnienie pracowników znajdujących się w szczególnie niekorzystnej sytuacji</w:t>
      </w:r>
      <w:r w:rsidR="00F877F0">
        <w:rPr>
          <w:rStyle w:val="nolink"/>
          <w:rFonts w:ascii="Times New Roman" w:hAnsi="Times New Roman"/>
          <w:sz w:val="24"/>
          <w:szCs w:val="24"/>
        </w:rPr>
        <w:t>:</w:t>
      </w:r>
    </w:p>
    <w:p w:rsidR="00F877F0" w:rsidRDefault="00F877F0" w:rsidP="00FF0A9D">
      <w:pPr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>2) nowe kategorie pomocy: pom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oc innowacyjna, dla dużych przedsiębiorstw, na infrastrukturę sieci szerokopasmowych, na kulturę i zachowanie dziedzictwa kulturowego, na prace audiowizualne, sport i strukturę rekreacyjną, usunięcie skutków klęsk żywiołowych i socjalna pomoc dla transportu w odległych regionach. </w:t>
      </w:r>
    </w:p>
    <w:p w:rsidR="00FF0A9D" w:rsidRDefault="00FF0A9D" w:rsidP="00FF0A9D">
      <w:pPr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 xml:space="preserve">Dodatkowo przewiduje się nowe formy dopuszczonej pomocy, np. nowe rodzaje pomocy początkowej, pomocy inwestycyjnej na infrastrukturę badawczą, rozszerzenie pomocy dla bezrobotnych na ludzi młodych lub pomoc dla obszarów miejskich. </w:t>
      </w:r>
    </w:p>
    <w:p w:rsidR="00F877F0" w:rsidRDefault="00FF0A9D" w:rsidP="00FF0A9D">
      <w:pPr>
        <w:spacing w:after="0" w:line="360" w:lineRule="auto"/>
        <w:ind w:firstLine="708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 xml:space="preserve">Pomoc publiczna podlega zwolnieniu z obowiązku zgłoszenia Komisji, jeśli spełnia warunki ogólne i szczególne wymogi dotyczące danej kategorii pomocy. Wspólne zasady to: </w:t>
      </w:r>
    </w:p>
    <w:p w:rsidR="00F877F0" w:rsidRDefault="00F877F0" w:rsidP="00F877F0">
      <w:pPr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 xml:space="preserve">- 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zapewnienie, że pomoc przeznaczona jest na </w:t>
      </w:r>
      <w:r w:rsidR="00FF0A9D" w:rsidRPr="00F877F0">
        <w:rPr>
          <w:rStyle w:val="nolink"/>
          <w:rFonts w:ascii="Times New Roman" w:hAnsi="Times New Roman"/>
          <w:b/>
          <w:sz w:val="24"/>
          <w:szCs w:val="24"/>
        </w:rPr>
        <w:t>osiągnięcie interesu wspólnego</w:t>
      </w:r>
      <w:r w:rsidR="00FF0A9D">
        <w:rPr>
          <w:rStyle w:val="nolink"/>
          <w:rFonts w:ascii="Times New Roman" w:hAnsi="Times New Roman"/>
          <w:sz w:val="24"/>
          <w:szCs w:val="24"/>
        </w:rPr>
        <w:t>,</w:t>
      </w:r>
    </w:p>
    <w:p w:rsidR="00F877F0" w:rsidRDefault="00F877F0" w:rsidP="00F877F0">
      <w:pPr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>-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 ma wyraźny </w:t>
      </w:r>
      <w:r w:rsidR="00FF0A9D" w:rsidRPr="00F877F0">
        <w:rPr>
          <w:rStyle w:val="nolink"/>
          <w:rFonts w:ascii="Times New Roman" w:hAnsi="Times New Roman"/>
          <w:b/>
          <w:sz w:val="24"/>
          <w:szCs w:val="24"/>
        </w:rPr>
        <w:t>efekt zachęty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, </w:t>
      </w:r>
    </w:p>
    <w:p w:rsidR="00F877F0" w:rsidRDefault="00F877F0" w:rsidP="00F877F0">
      <w:pPr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>-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jest </w:t>
      </w:r>
      <w:r w:rsidR="00FF0A9D" w:rsidRPr="00F877F0">
        <w:rPr>
          <w:rStyle w:val="nolink"/>
          <w:rFonts w:ascii="Times New Roman" w:hAnsi="Times New Roman"/>
          <w:b/>
          <w:sz w:val="24"/>
          <w:szCs w:val="24"/>
        </w:rPr>
        <w:t>właściwa, przejrzysta i proporcjonalna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 </w:t>
      </w:r>
    </w:p>
    <w:p w:rsidR="00F877F0" w:rsidRDefault="00F877F0" w:rsidP="00F877F0">
      <w:pPr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>-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uwzględnia </w:t>
      </w:r>
      <w:r w:rsidR="00FF0A9D" w:rsidRPr="00F877F0">
        <w:rPr>
          <w:rStyle w:val="nolink"/>
          <w:rFonts w:ascii="Times New Roman" w:hAnsi="Times New Roman"/>
          <w:b/>
          <w:sz w:val="24"/>
          <w:szCs w:val="24"/>
        </w:rPr>
        <w:t>mechanizm kontroli i regularnej oceny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. </w:t>
      </w:r>
    </w:p>
    <w:p w:rsidR="00F877F0" w:rsidRDefault="00F877F0" w:rsidP="00F877F0">
      <w:pPr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 xml:space="preserve">- 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przestrzega dopuszczalnych poziomów intensywności pomocy i kosztów kwalifikowanych i nie przekracza dopuszczalnych progów pomocy </w:t>
      </w:r>
    </w:p>
    <w:p w:rsidR="00F877F0" w:rsidRDefault="00F877F0" w:rsidP="00F877F0">
      <w:pPr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 xml:space="preserve">- 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brak niekorzystnego wpływu pomocy na wymianę handlową między państwami członkowskimi. </w:t>
      </w:r>
    </w:p>
    <w:p w:rsidR="00FF0A9D" w:rsidRDefault="00FF0A9D" w:rsidP="00F877F0">
      <w:pPr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 xml:space="preserve">Użyte przez państwa środki mają zapewniać spójność społeczną i gospodarczą oraz znosić niedoskonałości rynku. </w:t>
      </w:r>
      <w:r w:rsidRPr="00F877F0">
        <w:rPr>
          <w:rStyle w:val="nolink"/>
          <w:rFonts w:ascii="Times New Roman" w:hAnsi="Times New Roman"/>
          <w:b/>
          <w:sz w:val="24"/>
          <w:szCs w:val="24"/>
        </w:rPr>
        <w:t>W UE wyraźne jest przeświadczenie, że pomoc państwa jest konieczna tam gdzie prywatni przedsiębiorcy nie działają lub nie mogą działać w sposób efektywny z uwagi na niedoskonałości rynku.</w:t>
      </w:r>
      <w:r>
        <w:rPr>
          <w:rStyle w:val="nolink"/>
          <w:rFonts w:ascii="Times New Roman" w:hAnsi="Times New Roman"/>
          <w:sz w:val="24"/>
          <w:szCs w:val="24"/>
        </w:rPr>
        <w:t xml:space="preserve"> Przyznawane środki pomocy mają tak zmieniać zachowania obdarowanego przedsiębiorstwa, że będzie się ono angażowało w </w:t>
      </w:r>
      <w:r>
        <w:rPr>
          <w:rStyle w:val="nolink"/>
          <w:rFonts w:ascii="Times New Roman" w:hAnsi="Times New Roman"/>
          <w:sz w:val="24"/>
          <w:szCs w:val="24"/>
        </w:rPr>
        <w:lastRenderedPageBreak/>
        <w:t xml:space="preserve">dodatkową działalność, której bez niej by się nie podjął lub podjąłby się w ograniczony sposób lub w innym miejscu. </w:t>
      </w:r>
    </w:p>
    <w:p w:rsidR="00F877F0" w:rsidRDefault="00F877F0" w:rsidP="00F877F0">
      <w:pPr>
        <w:spacing w:after="0" w:line="360" w:lineRule="auto"/>
        <w:jc w:val="both"/>
        <w:rPr>
          <w:rStyle w:val="nolink"/>
          <w:rFonts w:ascii="Times New Roman" w:hAnsi="Times New Roman"/>
          <w:b/>
          <w:sz w:val="24"/>
          <w:szCs w:val="24"/>
        </w:rPr>
      </w:pPr>
    </w:p>
    <w:p w:rsidR="00FF0A9D" w:rsidRDefault="00F877F0" w:rsidP="00F877F0">
      <w:pPr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 w:rsidRPr="00F877F0">
        <w:rPr>
          <w:rStyle w:val="nolink"/>
          <w:rFonts w:ascii="Times New Roman" w:hAnsi="Times New Roman"/>
          <w:b/>
          <w:sz w:val="24"/>
          <w:szCs w:val="24"/>
        </w:rPr>
        <w:t>Pomoc regionalna</w:t>
      </w:r>
      <w:r>
        <w:rPr>
          <w:rStyle w:val="nolink"/>
          <w:rFonts w:ascii="Times New Roman" w:hAnsi="Times New Roman"/>
          <w:b/>
          <w:sz w:val="24"/>
          <w:szCs w:val="24"/>
        </w:rPr>
        <w:t xml:space="preserve"> - 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 nowym rozporządzeniu w sprawie wyłączeń grupowych w art. 13 zmieniono zakres pomocy regionalnej przez dodanie rodzajów działalności gospodarczej, do których nie mają zastosowania jego przepisy. </w:t>
      </w:r>
      <w:r>
        <w:rPr>
          <w:rStyle w:val="nolink"/>
          <w:rFonts w:ascii="Times New Roman" w:hAnsi="Times New Roman"/>
          <w:sz w:val="24"/>
          <w:szCs w:val="24"/>
        </w:rPr>
        <w:t>S</w:t>
      </w:r>
      <w:r w:rsidR="00FF0A9D">
        <w:rPr>
          <w:rStyle w:val="nolink"/>
          <w:rFonts w:ascii="Times New Roman" w:hAnsi="Times New Roman"/>
          <w:sz w:val="24"/>
          <w:szCs w:val="24"/>
        </w:rPr>
        <w:t>ą to:</w:t>
      </w:r>
    </w:p>
    <w:p w:rsidR="00FF0A9D" w:rsidRDefault="00F877F0" w:rsidP="00FF0A9D">
      <w:pPr>
        <w:autoSpaceDE w:val="0"/>
        <w:autoSpaceDN w:val="0"/>
        <w:adjustRightInd w:val="0"/>
        <w:spacing w:after="0" w:line="360" w:lineRule="auto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>a)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 programy pomocy rekompensujące koszty transportu towarów produkowanych w regionach najbardziej oddalonych lub obszarów słabo zaludnionych, </w:t>
      </w:r>
    </w:p>
    <w:p w:rsidR="00FF0A9D" w:rsidRDefault="00F877F0" w:rsidP="00FF0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nolink"/>
          <w:rFonts w:ascii="Times New Roman" w:hAnsi="Times New Roman"/>
          <w:sz w:val="24"/>
          <w:szCs w:val="24"/>
        </w:rPr>
        <w:t>b)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 </w:t>
      </w:r>
      <w:r w:rsidR="00FF0A9D" w:rsidRPr="007173A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>ndywidualn</w:t>
      </w:r>
      <w:r w:rsidR="00FF0A9D" w:rsidRPr="007173A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inwestycyjn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beneficjenta, który zamknął taką samą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podobną działalność w EOG ciągu dwóch lat poprzedzających 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>ku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takiej pomocy lub który ma zamiar zakończyć taką działalność;</w:t>
      </w:r>
    </w:p>
    <w:p w:rsidR="00FF0A9D" w:rsidRDefault="00F877F0" w:rsidP="00FF0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operacyjna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przedsiębiorstwom, których głó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działalność odpowiada sekcji K NACE </w:t>
      </w:r>
      <w:proofErr w:type="spellStart"/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>Rev</w:t>
      </w:r>
      <w:proofErr w:type="spellEnd"/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>. 2 (Działalność finansowa i ubezpieczeniowa) lub przedsiębiorstwom funkcjonującym w grupie przedsiębiorstw, których działalność odpowiada klasie 70.10 (Działa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>lność firm centralnych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70.22 (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 w zakresie prowadzenia działalności gospodarczej i zarządzania, pozostałe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NACE </w:t>
      </w:r>
      <w:proofErr w:type="spellStart"/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>Rev</w:t>
      </w:r>
      <w:proofErr w:type="spellEnd"/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>. 2</w:t>
      </w:r>
      <w:r w:rsidR="00FF0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(Rozporządzenie Komisji, 2014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F0A9D" w:rsidRPr="00127B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F0A9D" w:rsidRDefault="00FF0A9D" w:rsidP="00FF0A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nolink"/>
          <w:rFonts w:ascii="Times New Roman" w:hAnsi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 xml:space="preserve">Pomoc regionalna może być udzielana na inwestycje (początkowe, na zasadniczą zmianę procesu produkcji, na infrastrukturę badawczą), na rzecz rozwoju obszarów miejskich oraz może to być pomoc operacyjna w regionach najbardziej oddalonych i słabo zaludnionych obszarach. Intensywność pomocy regionalnej nie może przekroczyć maksymalnych progów intensywności określonych w mapie pomocy regionalnej zatwierdzonej przez Komisję dla każdego kraju UE. Projekty pomocy w zakresie rozwoju obszarów miejskich </w:t>
      </w:r>
      <w:r w:rsidRPr="0042599D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2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wdrażane poprzez fundusze na rzecz rozwoju obszarów miejskich na obszarach objętych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pomocą, </w:t>
      </w:r>
      <w:r>
        <w:rPr>
          <w:rStyle w:val="nolink"/>
          <w:rFonts w:ascii="Times New Roman" w:hAnsi="Times New Roman"/>
          <w:sz w:val="24"/>
          <w:szCs w:val="24"/>
        </w:rPr>
        <w:t>współfinansowane</w:t>
      </w:r>
      <w:r w:rsidRPr="00425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europejskie fundusze strukturalne i inwestycyjne</w:t>
      </w:r>
      <w:r>
        <w:rPr>
          <w:rStyle w:val="nolink"/>
          <w:rFonts w:ascii="Times New Roman" w:hAnsi="Times New Roman"/>
          <w:sz w:val="24"/>
          <w:szCs w:val="24"/>
        </w:rPr>
        <w:t xml:space="preserve"> oraz wspierają realizację strategii na rzecz zrównoważonego rozwoju obszarów miejskich. Pomoc przyznawana z funduszy na ten cel może być w formie kapitału własnego, quasi kapitału własnego, pożyczek, gwarancji lub połączenia tych rozwiązań. Wkłady mogą wnieść inwestorzy prywatni lub publiczni, są to wkłady pieniężne lub niepieniężne. </w:t>
      </w:r>
    </w:p>
    <w:p w:rsidR="00FF0A9D" w:rsidRDefault="00060B92" w:rsidP="00FF0A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link"/>
          <w:rFonts w:ascii="Times New Roman" w:hAnsi="Times New Roman"/>
          <w:sz w:val="24"/>
          <w:szCs w:val="24"/>
        </w:rPr>
        <w:t xml:space="preserve">Nastąpiło 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zwiększenie odpowiedzialności państw członkowskich przy przyznawaniu pomocy, nasilenie współpracy między tymi krajami i Komisją. </w:t>
      </w:r>
      <w:r w:rsidR="00FF0A9D" w:rsidRPr="00060B92">
        <w:rPr>
          <w:rStyle w:val="nolink"/>
          <w:rFonts w:ascii="Times New Roman" w:hAnsi="Times New Roman"/>
          <w:b/>
          <w:sz w:val="24"/>
          <w:szCs w:val="24"/>
        </w:rPr>
        <w:t xml:space="preserve">Kontrola ex </w:t>
      </w:r>
      <w:proofErr w:type="spellStart"/>
      <w:r w:rsidR="00FF0A9D" w:rsidRPr="00060B92">
        <w:rPr>
          <w:rStyle w:val="nolink"/>
          <w:rFonts w:ascii="Times New Roman" w:hAnsi="Times New Roman"/>
          <w:b/>
          <w:sz w:val="24"/>
          <w:szCs w:val="24"/>
        </w:rPr>
        <w:t>ante</w:t>
      </w:r>
      <w:proofErr w:type="spellEnd"/>
      <w:r w:rsidR="00FF0A9D" w:rsidRPr="00060B92">
        <w:rPr>
          <w:rStyle w:val="nolink"/>
          <w:rFonts w:ascii="Times New Roman" w:hAnsi="Times New Roman"/>
          <w:b/>
          <w:sz w:val="24"/>
          <w:szCs w:val="24"/>
        </w:rPr>
        <w:t xml:space="preserve"> pomocy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 zostaje zastąpiona </w:t>
      </w:r>
      <w:r w:rsidR="00FF0A9D" w:rsidRPr="00060B92">
        <w:rPr>
          <w:rStyle w:val="nolink"/>
          <w:rFonts w:ascii="Times New Roman" w:hAnsi="Times New Roman"/>
          <w:b/>
          <w:sz w:val="24"/>
          <w:szCs w:val="24"/>
        </w:rPr>
        <w:t>kontrolą ex post.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 Kontrola ex post wymusza zachowanie przejrzystości pomocy na poziomie indywidualnym oraz systematycznego sprawdzania jej zgodności z formalnymi warunkami zwolnienia grupowego. Wprowadzono również </w:t>
      </w:r>
      <w:r w:rsidR="00FF0A9D" w:rsidRPr="00F877F0">
        <w:rPr>
          <w:rStyle w:val="nolink"/>
          <w:rFonts w:ascii="Times New Roman" w:hAnsi="Times New Roman"/>
          <w:b/>
          <w:sz w:val="24"/>
          <w:szCs w:val="24"/>
        </w:rPr>
        <w:t xml:space="preserve">obowiązek oceny </w:t>
      </w:r>
      <w:r w:rsidR="00FF0A9D" w:rsidRPr="00F877F0">
        <w:rPr>
          <w:rStyle w:val="nolink"/>
          <w:rFonts w:ascii="Times New Roman" w:hAnsi="Times New Roman"/>
          <w:b/>
          <w:sz w:val="24"/>
          <w:szCs w:val="24"/>
        </w:rPr>
        <w:lastRenderedPageBreak/>
        <w:t>programów pomocy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 mających potencjalnie większy wpływ na konkurencję i handel na jednolitym rynku. Cały proces oceny ma charakter nowatorski i ma służyć weryfikacji czy przyjęte założenia i warunki zgodności zostały osiągnięte oraz sprawdzeniu skuteczności środka pomocy z uwagi na jego cele ogólne i szczegółowe. Konieczne jest także wskazanie wpływu realizowanego programu na konkurencję i handel na jednolitym rynku. Taka ocena prowadzona jest w oparciu o </w:t>
      </w:r>
      <w:r w:rsidR="00FF0A9D" w:rsidRPr="00F877F0">
        <w:rPr>
          <w:rStyle w:val="nolink"/>
          <w:rFonts w:ascii="Times New Roman" w:hAnsi="Times New Roman"/>
          <w:b/>
          <w:sz w:val="24"/>
          <w:szCs w:val="24"/>
        </w:rPr>
        <w:t>tzw. plan oceny -</w:t>
      </w:r>
      <w:r w:rsidR="00FF0A9D">
        <w:rPr>
          <w:rStyle w:val="nolink"/>
          <w:rFonts w:ascii="Times New Roman" w:hAnsi="Times New Roman"/>
          <w:sz w:val="24"/>
          <w:szCs w:val="24"/>
        </w:rPr>
        <w:t xml:space="preserve"> </w:t>
      </w:r>
      <w:r w:rsidR="00FF0A9D" w:rsidRPr="00E63019">
        <w:rPr>
          <w:rFonts w:ascii="Times New Roman" w:hAnsi="Times New Roman" w:cs="Times New Roman"/>
          <w:sz w:val="24"/>
          <w:szCs w:val="24"/>
        </w:rPr>
        <w:t>dokument zawierający</w:t>
      </w:r>
      <w:r w:rsidR="00FF0A9D">
        <w:rPr>
          <w:rFonts w:ascii="Times New Roman" w:hAnsi="Times New Roman" w:cs="Times New Roman"/>
          <w:sz w:val="24"/>
          <w:szCs w:val="24"/>
        </w:rPr>
        <w:t>:</w:t>
      </w:r>
      <w:r w:rsidR="00FF0A9D" w:rsidRPr="00E63019">
        <w:rPr>
          <w:rFonts w:ascii="Times New Roman" w:hAnsi="Times New Roman" w:cs="Times New Roman"/>
          <w:sz w:val="24"/>
          <w:szCs w:val="24"/>
        </w:rPr>
        <w:t xml:space="preserve"> cele programu pomocy, podlega</w:t>
      </w:r>
      <w:r w:rsidR="00FF0A9D">
        <w:rPr>
          <w:rFonts w:ascii="Times New Roman" w:hAnsi="Times New Roman" w:cs="Times New Roman"/>
          <w:sz w:val="24"/>
          <w:szCs w:val="24"/>
        </w:rPr>
        <w:t>jącego ocenie</w:t>
      </w:r>
      <w:r w:rsidR="00FF0A9D" w:rsidRPr="00E63019">
        <w:rPr>
          <w:rFonts w:ascii="Times New Roman" w:hAnsi="Times New Roman" w:cs="Times New Roman"/>
          <w:sz w:val="24"/>
          <w:szCs w:val="24"/>
        </w:rPr>
        <w:t xml:space="preserve">; pytania służące </w:t>
      </w:r>
      <w:r w:rsidR="00FF0A9D">
        <w:rPr>
          <w:rFonts w:ascii="Times New Roman" w:hAnsi="Times New Roman" w:cs="Times New Roman"/>
          <w:sz w:val="24"/>
          <w:szCs w:val="24"/>
        </w:rPr>
        <w:t>tej ocenie</w:t>
      </w:r>
      <w:r w:rsidR="00FF0A9D" w:rsidRPr="00E63019">
        <w:rPr>
          <w:rFonts w:ascii="Times New Roman" w:hAnsi="Times New Roman" w:cs="Times New Roman"/>
          <w:sz w:val="24"/>
          <w:szCs w:val="24"/>
        </w:rPr>
        <w:t>, wskaźniki rezultatów, przewidywaną metodykę przeprowadzania</w:t>
      </w:r>
      <w:r w:rsidR="00FF0A9D">
        <w:rPr>
          <w:rFonts w:ascii="Times New Roman" w:hAnsi="Times New Roman" w:cs="Times New Roman"/>
          <w:sz w:val="24"/>
          <w:szCs w:val="24"/>
        </w:rPr>
        <w:t xml:space="preserve"> oceny</w:t>
      </w:r>
      <w:r w:rsidR="00FF0A9D" w:rsidRPr="00E63019">
        <w:rPr>
          <w:rFonts w:ascii="Times New Roman" w:hAnsi="Times New Roman" w:cs="Times New Roman"/>
          <w:sz w:val="24"/>
          <w:szCs w:val="24"/>
        </w:rPr>
        <w:t xml:space="preserve">, wymogi w zakresie gromadzenia danych, proponowany harmonogram </w:t>
      </w:r>
      <w:r w:rsidR="00FF0A9D">
        <w:rPr>
          <w:rFonts w:ascii="Times New Roman" w:hAnsi="Times New Roman" w:cs="Times New Roman"/>
          <w:sz w:val="24"/>
          <w:szCs w:val="24"/>
        </w:rPr>
        <w:t xml:space="preserve">oceny, </w:t>
      </w:r>
      <w:r w:rsidR="00FF0A9D" w:rsidRPr="00E63019">
        <w:rPr>
          <w:rFonts w:ascii="Times New Roman" w:hAnsi="Times New Roman" w:cs="Times New Roman"/>
          <w:sz w:val="24"/>
          <w:szCs w:val="24"/>
        </w:rPr>
        <w:t>w tym termin prze</w:t>
      </w:r>
      <w:r w:rsidR="00FF0A9D">
        <w:rPr>
          <w:rFonts w:ascii="Times New Roman" w:hAnsi="Times New Roman" w:cs="Times New Roman"/>
          <w:sz w:val="24"/>
          <w:szCs w:val="24"/>
        </w:rPr>
        <w:t>dłożenia końcowego sprawozdania</w:t>
      </w:r>
      <w:r w:rsidR="00FF0A9D" w:rsidRPr="00E63019">
        <w:rPr>
          <w:rFonts w:ascii="Times New Roman" w:hAnsi="Times New Roman" w:cs="Times New Roman"/>
          <w:sz w:val="24"/>
          <w:szCs w:val="24"/>
        </w:rPr>
        <w:t xml:space="preserve">, opis niezależnego podmiotu prowadzącego </w:t>
      </w:r>
      <w:r w:rsidR="00FF0A9D">
        <w:rPr>
          <w:rFonts w:ascii="Times New Roman" w:hAnsi="Times New Roman" w:cs="Times New Roman"/>
          <w:sz w:val="24"/>
          <w:szCs w:val="24"/>
        </w:rPr>
        <w:t xml:space="preserve">ocenę </w:t>
      </w:r>
      <w:r w:rsidR="00FF0A9D" w:rsidRPr="00E63019">
        <w:rPr>
          <w:rFonts w:ascii="Times New Roman" w:hAnsi="Times New Roman" w:cs="Times New Roman"/>
          <w:sz w:val="24"/>
          <w:szCs w:val="24"/>
        </w:rPr>
        <w:t>lub opis kryteriów wyboru takiego podmiotu oraz procedury zapewniające promocję</w:t>
      </w:r>
      <w:r w:rsidR="00FF0A9D">
        <w:rPr>
          <w:rFonts w:ascii="Times New Roman" w:hAnsi="Times New Roman" w:cs="Times New Roman"/>
          <w:sz w:val="24"/>
          <w:szCs w:val="24"/>
        </w:rPr>
        <w:t xml:space="preserve"> oceny</w:t>
      </w:r>
      <w:r w:rsidR="00F877F0">
        <w:rPr>
          <w:rFonts w:ascii="Times New Roman" w:hAnsi="Times New Roman" w:cs="Times New Roman"/>
          <w:sz w:val="24"/>
          <w:szCs w:val="24"/>
        </w:rPr>
        <w:t xml:space="preserve"> (Rozporządzenie Komisji</w:t>
      </w:r>
      <w:r w:rsidR="00FF0A9D">
        <w:rPr>
          <w:rFonts w:ascii="Times New Roman" w:hAnsi="Times New Roman" w:cs="Times New Roman"/>
          <w:sz w:val="24"/>
          <w:szCs w:val="24"/>
        </w:rPr>
        <w:t xml:space="preserve"> 2014)</w:t>
      </w:r>
      <w:r w:rsidR="00FF0A9D" w:rsidRPr="00E63019">
        <w:rPr>
          <w:rFonts w:ascii="Times New Roman" w:hAnsi="Times New Roman" w:cs="Times New Roman"/>
          <w:sz w:val="24"/>
          <w:szCs w:val="24"/>
        </w:rPr>
        <w:t>.</w:t>
      </w:r>
      <w:r w:rsidR="00FF0A9D">
        <w:rPr>
          <w:rFonts w:ascii="Times New Roman" w:hAnsi="Times New Roman" w:cs="Times New Roman"/>
          <w:sz w:val="24"/>
          <w:szCs w:val="24"/>
        </w:rPr>
        <w:t xml:space="preserve"> Plan taki podlega zatwierdzeniu przez Komisję i ma jej być zgłoszony w terminie 20 dni roboczych od dnia wejścia w życie programu. </w:t>
      </w:r>
    </w:p>
    <w:p w:rsidR="00FF0A9D" w:rsidRDefault="00FF0A9D" w:rsidP="00FF0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Proces oceny jest uznawany za konieczną </w:t>
      </w:r>
      <w:r w:rsidRPr="00F877F0">
        <w:rPr>
          <w:rFonts w:ascii="Times New Roman" w:hAnsi="Times New Roman" w:cs="Times New Roman"/>
          <w:b/>
          <w:sz w:val="24"/>
          <w:szCs w:val="24"/>
        </w:rPr>
        <w:t>ochronę ex post,</w:t>
      </w:r>
      <w:r>
        <w:rPr>
          <w:rFonts w:ascii="Times New Roman" w:hAnsi="Times New Roman" w:cs="Times New Roman"/>
          <w:sz w:val="24"/>
          <w:szCs w:val="24"/>
        </w:rPr>
        <w:t xml:space="preserve"> która obok wymogu przejrzystości pomocy i jej kontroli ma zapewnić efektywną politykę pomocy publicznej. Od lipca 2014 r. ocena jest wymagana dla programów pomocy podlegających wyłączeniu grupowemu, których </w:t>
      </w:r>
      <w:r w:rsidRPr="00060B92">
        <w:rPr>
          <w:rFonts w:ascii="Times New Roman" w:hAnsi="Times New Roman" w:cs="Times New Roman"/>
          <w:b/>
          <w:sz w:val="24"/>
          <w:szCs w:val="24"/>
        </w:rPr>
        <w:t>roczny budżet pomocy przekracza 150 mln euro</w:t>
      </w:r>
      <w:r>
        <w:rPr>
          <w:rFonts w:ascii="Times New Roman" w:hAnsi="Times New Roman" w:cs="Times New Roman"/>
          <w:sz w:val="24"/>
          <w:szCs w:val="24"/>
        </w:rPr>
        <w:t xml:space="preserve"> w takich dziedzinach jak: pomoc regionalna, pomoc dla małych średnich przedsiębiorstw, pomoc na badania, rozwój i innowacje, dla sektora energii i ochronę środowiska oraz na rzecz infrastruktury szerokopasmowej. Takim procesem objęte są również zgłoszone programy pomocy, gdy przewidywane są znaczące zmiany technologii, regulacyjne lub zmiany na rynku. Komisja w zatwierdziła plany oceny 17 dużych programów pomocy z Czech, Niemiec, Hiszpanii, Francji, Węgier, Austrii, Polski, Portugalii, Finlandii i Wielkiej Brytanii. Dotyczyły one pomocy regionalnej lub na badania, rozwój i innowacje, a budżet pomocy państwa odpowiada ok. 10 mld euro.</w:t>
      </w:r>
    </w:p>
    <w:p w:rsidR="00FF0A9D" w:rsidRPr="00FF0A9D" w:rsidRDefault="00FF0A9D" w:rsidP="00501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0A9D" w:rsidRPr="00FF0A9D" w:rsidRDefault="00FF0A9D" w:rsidP="0050131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0A9D">
        <w:rPr>
          <w:rFonts w:ascii="Times New Roman" w:hAnsi="Times New Roman"/>
          <w:b/>
          <w:sz w:val="24"/>
          <w:szCs w:val="24"/>
        </w:rPr>
        <w:t>Wymagania określone w Wytycznych dotyczących pomocy regionalnej.</w:t>
      </w:r>
    </w:p>
    <w:p w:rsidR="00501317" w:rsidRDefault="00501317" w:rsidP="005013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zgodności pomocy regionalnej z rynkiem wewnętrznym wymaga zbadania czy ma miejsce przewaga pozytywnego wpływu pomocy na osiągnięcie celu leżącego we wspólnym interesie nad jego potencjalnym negatywnym oddziaływaniem na konkurencję i wymianę handlową. Pomoc dla uznania jej za legalną musi spełniać następujące warunki:</w:t>
      </w:r>
    </w:p>
    <w:p w:rsidR="00501317" w:rsidRPr="002067D7" w:rsidRDefault="00501317" w:rsidP="00501317">
      <w:pPr>
        <w:pStyle w:val="CM4"/>
        <w:spacing w:before="6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067D7">
        <w:rPr>
          <w:rFonts w:ascii="Times New Roman" w:hAnsi="Times New Roman" w:cs="Times New Roman"/>
          <w:color w:val="000000"/>
        </w:rPr>
        <w:t xml:space="preserve">a) </w:t>
      </w:r>
      <w:r>
        <w:rPr>
          <w:rFonts w:ascii="Times New Roman" w:hAnsi="Times New Roman" w:cs="Times New Roman"/>
          <w:color w:val="000000"/>
        </w:rPr>
        <w:t xml:space="preserve">powinna </w:t>
      </w:r>
      <w:r w:rsidRPr="002067D7">
        <w:rPr>
          <w:rFonts w:ascii="Times New Roman" w:hAnsi="Times New Roman" w:cs="Times New Roman"/>
          <w:color w:val="000000"/>
        </w:rPr>
        <w:t>przyczyn</w:t>
      </w:r>
      <w:r>
        <w:rPr>
          <w:rFonts w:ascii="Times New Roman" w:hAnsi="Times New Roman" w:cs="Times New Roman"/>
          <w:color w:val="000000"/>
        </w:rPr>
        <w:t>iać</w:t>
      </w:r>
      <w:r w:rsidRPr="002067D7">
        <w:rPr>
          <w:rFonts w:ascii="Times New Roman" w:hAnsi="Times New Roman" w:cs="Times New Roman"/>
          <w:color w:val="000000"/>
        </w:rPr>
        <w:t xml:space="preserve"> się do osiągnięcia dobrze zdefiniowanego celu leżą</w:t>
      </w:r>
      <w:r>
        <w:rPr>
          <w:rFonts w:ascii="Times New Roman" w:hAnsi="Times New Roman" w:cs="Times New Roman"/>
          <w:color w:val="000000"/>
        </w:rPr>
        <w:t>cego we wspólnym interesie.</w:t>
      </w:r>
      <w:r w:rsidRPr="002067D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takim celem obok zmniejszenia różnic w poziomie rozwoju regionów UE jest realizacja strategii Europa 2020 i powiązanie ze strategiami rozwoju regionalnego </w:t>
      </w:r>
      <w:r>
        <w:rPr>
          <w:rFonts w:ascii="Times New Roman" w:hAnsi="Times New Roman" w:cs="Times New Roman"/>
          <w:color w:val="000000"/>
        </w:rPr>
        <w:lastRenderedPageBreak/>
        <w:t>przewidzianego w funduszach UE. Programy pomocy wprowadzane w tzw. obszarach „a” mogą wspierać inwestycje początkowe małych i średnich przedsiębiorstw oraz inwestycje początkowe na rzecz nowej działalności dużych przedsiębiorstw;</w:t>
      </w:r>
    </w:p>
    <w:p w:rsidR="00501317" w:rsidRPr="00D51B41" w:rsidRDefault="00501317" w:rsidP="005013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7D7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powinna </w:t>
      </w:r>
      <w:r w:rsidRPr="002067D7">
        <w:rPr>
          <w:rFonts w:ascii="Times New Roman" w:hAnsi="Times New Roman" w:cs="Times New Roman"/>
          <w:color w:val="000000"/>
          <w:sz w:val="24"/>
          <w:szCs w:val="24"/>
        </w:rPr>
        <w:t>istnie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2067D7">
        <w:rPr>
          <w:rFonts w:ascii="Times New Roman" w:hAnsi="Times New Roman" w:cs="Times New Roman"/>
          <w:color w:val="000000"/>
          <w:sz w:val="24"/>
          <w:szCs w:val="24"/>
        </w:rPr>
        <w:t xml:space="preserve"> potrzeb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067D7">
        <w:rPr>
          <w:rFonts w:ascii="Times New Roman" w:hAnsi="Times New Roman" w:cs="Times New Roman"/>
          <w:color w:val="000000"/>
          <w:sz w:val="24"/>
          <w:szCs w:val="24"/>
        </w:rPr>
        <w:t xml:space="preserve"> interwencji państwa</w:t>
      </w:r>
      <w:r>
        <w:rPr>
          <w:rFonts w:ascii="Times New Roman" w:hAnsi="Times New Roman" w:cs="Times New Roman"/>
          <w:color w:val="000000"/>
          <w:sz w:val="24"/>
          <w:szCs w:val="24"/>
        </w:rPr>
        <w:t>. Wymaga się, żeby ś</w:t>
      </w:r>
      <w:r w:rsidRPr="00D51B41">
        <w:rPr>
          <w:rFonts w:ascii="Times New Roman" w:hAnsi="Times New Roman" w:cs="Times New Roman"/>
          <w:color w:val="000000"/>
          <w:sz w:val="24"/>
          <w:szCs w:val="24"/>
        </w:rPr>
        <w:t>rodki pomocy korygowa</w:t>
      </w:r>
      <w:r>
        <w:rPr>
          <w:rFonts w:ascii="Times New Roman" w:hAnsi="Times New Roman" w:cs="Times New Roman"/>
          <w:color w:val="000000"/>
          <w:sz w:val="24"/>
          <w:szCs w:val="24"/>
        </w:rPr>
        <w:t>ły</w:t>
      </w:r>
      <w:r w:rsidRPr="00D51B41">
        <w:rPr>
          <w:rFonts w:ascii="Times New Roman" w:hAnsi="Times New Roman" w:cs="Times New Roman"/>
          <w:color w:val="000000"/>
          <w:sz w:val="24"/>
          <w:szCs w:val="24"/>
        </w:rPr>
        <w:t xml:space="preserve"> niedoskonałości rynku, przyczyniając się tym samym do usprawnienia rynków oraz zwiększenia konkurencyjności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oraz aby były </w:t>
      </w:r>
      <w:r w:rsidRPr="00D51B41">
        <w:rPr>
          <w:rFonts w:ascii="Times New Roman" w:hAnsi="Times New Roman" w:cs="Times New Roman"/>
          <w:color w:val="000000"/>
          <w:sz w:val="24"/>
          <w:szCs w:val="24"/>
        </w:rPr>
        <w:t>wykorzyst</w:t>
      </w:r>
      <w:r>
        <w:rPr>
          <w:rFonts w:ascii="Times New Roman" w:hAnsi="Times New Roman" w:cs="Times New Roman"/>
          <w:color w:val="000000"/>
          <w:sz w:val="24"/>
          <w:szCs w:val="24"/>
        </w:rPr>
        <w:t>ywa</w:t>
      </w:r>
      <w:r w:rsidRPr="00D51B41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51B41">
        <w:rPr>
          <w:rFonts w:ascii="Times New Roman" w:hAnsi="Times New Roman" w:cs="Times New Roman"/>
          <w:color w:val="000000"/>
          <w:sz w:val="24"/>
          <w:szCs w:val="24"/>
        </w:rPr>
        <w:t xml:space="preserve"> do uzyskania bardziej pożądanych, s</w:t>
      </w:r>
      <w:r>
        <w:rPr>
          <w:rFonts w:ascii="Times New Roman" w:hAnsi="Times New Roman" w:cs="Times New Roman"/>
          <w:color w:val="000000"/>
          <w:sz w:val="24"/>
          <w:szCs w:val="24"/>
        </w:rPr>
        <w:t>prawiedliwych wyników rynkowych;</w:t>
      </w:r>
    </w:p>
    <w:p w:rsidR="00501317" w:rsidRPr="002067D7" w:rsidRDefault="00501317" w:rsidP="00501317">
      <w:pPr>
        <w:pStyle w:val="CM4"/>
        <w:spacing w:before="6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067D7">
        <w:rPr>
          <w:rFonts w:ascii="Times New Roman" w:hAnsi="Times New Roman" w:cs="Times New Roman"/>
          <w:color w:val="000000"/>
        </w:rPr>
        <w:t xml:space="preserve">c) odpowiedniość środka pomocy: proponowany środek pomocy musi być właściwym </w:t>
      </w:r>
      <w:r>
        <w:rPr>
          <w:rFonts w:ascii="Times New Roman" w:hAnsi="Times New Roman" w:cs="Times New Roman"/>
          <w:color w:val="000000"/>
        </w:rPr>
        <w:t>narzędziem</w:t>
      </w:r>
      <w:r w:rsidRPr="002067D7">
        <w:rPr>
          <w:rFonts w:ascii="Times New Roman" w:hAnsi="Times New Roman" w:cs="Times New Roman"/>
          <w:color w:val="000000"/>
        </w:rPr>
        <w:t xml:space="preserve"> polityki do osiągnięcia celu leżącego we wspólnym interesie</w:t>
      </w:r>
      <w:r>
        <w:rPr>
          <w:rFonts w:ascii="Times New Roman" w:hAnsi="Times New Roman" w:cs="Times New Roman"/>
          <w:color w:val="000000"/>
        </w:rPr>
        <w:t xml:space="preserve">. </w:t>
      </w:r>
      <w:r w:rsidRPr="003D1E9B">
        <w:rPr>
          <w:rFonts w:ascii="Times New Roman" w:hAnsi="Times New Roman" w:cs="Times New Roman"/>
          <w:color w:val="000000"/>
        </w:rPr>
        <w:t xml:space="preserve">Państwo powinno zapewnić przyznanie pomocy w takiej formie, która ma szansę spowodować jak najmniejsze zakłócenia wymiany handlowej i konkurencji. </w:t>
      </w:r>
      <w:r>
        <w:rPr>
          <w:rFonts w:ascii="Times New Roman" w:hAnsi="Times New Roman" w:cs="Times New Roman"/>
          <w:color w:val="000000"/>
        </w:rPr>
        <w:t>Oznacza to, że kraj członkowski</w:t>
      </w:r>
      <w:r w:rsidRPr="003D1E9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gdy chce przyznać pomoc przynoszącą</w:t>
      </w:r>
      <w:r w:rsidRPr="003D1E9B">
        <w:rPr>
          <w:rFonts w:ascii="Times New Roman" w:hAnsi="Times New Roman" w:cs="Times New Roman"/>
          <w:color w:val="000000"/>
        </w:rPr>
        <w:t xml:space="preserve"> bezpośrednią korzyść majątkową (np. dotacje bezpośrednie, zwolnienia </w:t>
      </w:r>
      <w:r>
        <w:rPr>
          <w:rFonts w:ascii="Times New Roman" w:hAnsi="Times New Roman" w:cs="Times New Roman"/>
          <w:color w:val="000000"/>
        </w:rPr>
        <w:t xml:space="preserve">z </w:t>
      </w:r>
      <w:r w:rsidRPr="003D1E9B">
        <w:rPr>
          <w:rFonts w:ascii="Times New Roman" w:hAnsi="Times New Roman" w:cs="Times New Roman"/>
          <w:color w:val="000000"/>
        </w:rPr>
        <w:t>podatków, składek na ubezpieczenie społeczne lub też udostępnienie gruntu, towarów lub usług po korzystnych cenach</w:t>
      </w:r>
      <w:r>
        <w:rPr>
          <w:rFonts w:ascii="Times New Roman" w:hAnsi="Times New Roman" w:cs="Times New Roman"/>
          <w:color w:val="000000"/>
        </w:rPr>
        <w:t>)</w:t>
      </w:r>
      <w:r w:rsidRPr="003D1E9B">
        <w:rPr>
          <w:rFonts w:ascii="Times New Roman" w:hAnsi="Times New Roman" w:cs="Times New Roman"/>
          <w:color w:val="000000"/>
        </w:rPr>
        <w:t xml:space="preserve"> musi wykazać, dlaczego nieodpowiednie są w tym przypadku inne formy pomocy, takie jak zaliczki zwrotne lub formy pomocy oparte na instrumentach dłużnych lub</w:t>
      </w:r>
      <w:r>
        <w:rPr>
          <w:rFonts w:cs="EUAlbertina"/>
          <w:color w:val="000000"/>
          <w:sz w:val="19"/>
          <w:szCs w:val="19"/>
        </w:rPr>
        <w:t xml:space="preserve"> </w:t>
      </w:r>
      <w:r w:rsidRPr="003D1E9B">
        <w:rPr>
          <w:rFonts w:ascii="Times New Roman" w:hAnsi="Times New Roman" w:cs="Times New Roman"/>
          <w:color w:val="000000"/>
        </w:rPr>
        <w:t>kapitałowych (np. niskooprocentowane pożyczki lub dotacje na spłatę odsetek, gwarancje państwowe, zakup pakietu udziałów</w:t>
      </w:r>
      <w:r>
        <w:rPr>
          <w:rFonts w:ascii="Times New Roman" w:hAnsi="Times New Roman" w:cs="Times New Roman"/>
          <w:color w:val="000000"/>
        </w:rPr>
        <w:t>);</w:t>
      </w:r>
      <w:r w:rsidRPr="002067D7">
        <w:rPr>
          <w:rFonts w:ascii="Times New Roman" w:hAnsi="Times New Roman" w:cs="Times New Roman"/>
          <w:color w:val="000000"/>
        </w:rPr>
        <w:t xml:space="preserve"> </w:t>
      </w:r>
    </w:p>
    <w:p w:rsidR="00501317" w:rsidRPr="002067D7" w:rsidRDefault="00501317" w:rsidP="00501317">
      <w:pPr>
        <w:pStyle w:val="CM4"/>
        <w:spacing w:before="6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067D7">
        <w:rPr>
          <w:rFonts w:ascii="Times New Roman" w:hAnsi="Times New Roman" w:cs="Times New Roman"/>
          <w:color w:val="000000"/>
        </w:rPr>
        <w:t>d) efekt zachęty: pomoc musi zmienić zachowanie przedsiębiorstwa w taki sposób, że angażuje się ono w dodatkową działalność, której nie podjęłoby bez przyznanej pomocy lub którą podjęłoby w ograniczony</w:t>
      </w:r>
      <w:r>
        <w:rPr>
          <w:rFonts w:ascii="Times New Roman" w:hAnsi="Times New Roman" w:cs="Times New Roman"/>
          <w:color w:val="000000"/>
        </w:rPr>
        <w:t xml:space="preserve">m lub innym zakresie lub miejscu. Nowym obowiązkiem państw członkowskich jest wykazanie dlaczego pomoc stanowi zachętę do podjęcia decyzji o inwestycji. Może to nastąpić według jednego ze scenariuszy, tj. </w:t>
      </w:r>
      <w:r w:rsidRPr="00C55726">
        <w:rPr>
          <w:rFonts w:ascii="Times New Roman" w:hAnsi="Times New Roman" w:cs="Times New Roman"/>
          <w:color w:val="000000"/>
        </w:rPr>
        <w:t>decyzj</w:t>
      </w:r>
      <w:r>
        <w:rPr>
          <w:rFonts w:ascii="Times New Roman" w:hAnsi="Times New Roman" w:cs="Times New Roman"/>
          <w:color w:val="000000"/>
        </w:rPr>
        <w:t>a</w:t>
      </w:r>
      <w:r w:rsidRPr="00C55726">
        <w:rPr>
          <w:rFonts w:ascii="Times New Roman" w:hAnsi="Times New Roman" w:cs="Times New Roman"/>
          <w:color w:val="000000"/>
        </w:rPr>
        <w:t xml:space="preserve"> dotycząc</w:t>
      </w:r>
      <w:r>
        <w:rPr>
          <w:rFonts w:ascii="Times New Roman" w:hAnsi="Times New Roman" w:cs="Times New Roman"/>
          <w:color w:val="000000"/>
        </w:rPr>
        <w:t>a</w:t>
      </w:r>
      <w:r w:rsidRPr="00C55726">
        <w:rPr>
          <w:rFonts w:ascii="Times New Roman" w:hAnsi="Times New Roman" w:cs="Times New Roman"/>
          <w:color w:val="000000"/>
        </w:rPr>
        <w:t xml:space="preserve"> inwestycji</w:t>
      </w:r>
      <w:r>
        <w:rPr>
          <w:rFonts w:ascii="Times New Roman" w:hAnsi="Times New Roman" w:cs="Times New Roman"/>
          <w:color w:val="000000"/>
        </w:rPr>
        <w:t xml:space="preserve"> została podjęta, gdyż dzięki przyznanej pomocy</w:t>
      </w:r>
      <w:r w:rsidRPr="00C55726">
        <w:rPr>
          <w:rFonts w:ascii="Times New Roman" w:hAnsi="Times New Roman" w:cs="Times New Roman"/>
          <w:color w:val="000000"/>
        </w:rPr>
        <w:t xml:space="preserve"> inwestycja</w:t>
      </w:r>
      <w:r>
        <w:rPr>
          <w:rFonts w:ascii="Times New Roman" w:hAnsi="Times New Roman" w:cs="Times New Roman"/>
          <w:color w:val="000000"/>
        </w:rPr>
        <w:t xml:space="preserve"> może być </w:t>
      </w:r>
      <w:r w:rsidRPr="00C55726">
        <w:rPr>
          <w:rFonts w:ascii="Times New Roman" w:hAnsi="Times New Roman" w:cs="Times New Roman"/>
          <w:color w:val="000000"/>
        </w:rPr>
        <w:t>wystarczająco rentowna dla beneficjenta</w:t>
      </w:r>
      <w:r>
        <w:rPr>
          <w:rFonts w:ascii="Times New Roman" w:hAnsi="Times New Roman" w:cs="Times New Roman"/>
          <w:color w:val="000000"/>
        </w:rPr>
        <w:t xml:space="preserve"> i</w:t>
      </w:r>
      <w:r w:rsidRPr="00C55726">
        <w:rPr>
          <w:rFonts w:ascii="Times New Roman" w:hAnsi="Times New Roman" w:cs="Times New Roman"/>
          <w:color w:val="000000"/>
        </w:rPr>
        <w:t xml:space="preserve"> zostać zrealizowana w danym obszarze </w:t>
      </w:r>
      <w:r>
        <w:rPr>
          <w:rFonts w:ascii="Times New Roman" w:hAnsi="Times New Roman" w:cs="Times New Roman"/>
          <w:color w:val="000000"/>
        </w:rPr>
        <w:t>(decyzja</w:t>
      </w:r>
      <w:r w:rsidRPr="00C55726">
        <w:rPr>
          <w:rFonts w:ascii="Times New Roman" w:hAnsi="Times New Roman" w:cs="Times New Roman"/>
          <w:color w:val="000000"/>
        </w:rPr>
        <w:t xml:space="preserve"> inwestyc</w:t>
      </w:r>
      <w:r>
        <w:rPr>
          <w:rFonts w:ascii="Times New Roman" w:hAnsi="Times New Roman" w:cs="Times New Roman"/>
          <w:color w:val="000000"/>
        </w:rPr>
        <w:t>y</w:t>
      </w:r>
      <w:r w:rsidRPr="00C55726"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</w:rPr>
        <w:t>na</w:t>
      </w:r>
      <w:r w:rsidRPr="00C55726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. Drugi przypadek odnosi się do decyzji lokalizacyjnej czyli </w:t>
      </w:r>
      <w:r w:rsidRPr="00C55726">
        <w:rPr>
          <w:rFonts w:ascii="Times New Roman" w:hAnsi="Times New Roman" w:cs="Times New Roman"/>
          <w:color w:val="000000"/>
        </w:rPr>
        <w:t xml:space="preserve">pomoc stanowi zachętę do zrealizowania planowanej inwestycji </w:t>
      </w:r>
      <w:r>
        <w:rPr>
          <w:rFonts w:ascii="Times New Roman" w:hAnsi="Times New Roman" w:cs="Times New Roman"/>
          <w:color w:val="000000"/>
        </w:rPr>
        <w:t>w</w:t>
      </w:r>
      <w:r w:rsidRPr="00C55726">
        <w:rPr>
          <w:rFonts w:ascii="Times New Roman" w:hAnsi="Times New Roman" w:cs="Times New Roman"/>
          <w:color w:val="000000"/>
        </w:rPr>
        <w:t xml:space="preserve"> danym </w:t>
      </w:r>
      <w:r>
        <w:rPr>
          <w:rFonts w:ascii="Times New Roman" w:hAnsi="Times New Roman" w:cs="Times New Roman"/>
          <w:color w:val="000000"/>
        </w:rPr>
        <w:t>regionie</w:t>
      </w:r>
      <w:r w:rsidRPr="00C55726">
        <w:rPr>
          <w:rFonts w:ascii="Times New Roman" w:hAnsi="Times New Roman" w:cs="Times New Roman"/>
          <w:color w:val="000000"/>
        </w:rPr>
        <w:t xml:space="preserve">, ponieważ kompensuje ograniczenia i koszty netto wynikające z lokalizacji w </w:t>
      </w:r>
      <w:r>
        <w:rPr>
          <w:rFonts w:ascii="Times New Roman" w:hAnsi="Times New Roman" w:cs="Times New Roman"/>
          <w:color w:val="000000"/>
        </w:rPr>
        <w:t>tym regionie</w:t>
      </w:r>
      <w:r w:rsidRPr="002067D7">
        <w:rPr>
          <w:rFonts w:ascii="Times New Roman" w:hAnsi="Times New Roman" w:cs="Times New Roman"/>
          <w:color w:val="000000"/>
        </w:rPr>
        <w:t xml:space="preserve">; </w:t>
      </w:r>
    </w:p>
    <w:p w:rsidR="00501317" w:rsidRPr="002067D7" w:rsidRDefault="00501317" w:rsidP="00501317">
      <w:pPr>
        <w:pStyle w:val="CM4"/>
        <w:spacing w:before="6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067D7">
        <w:rPr>
          <w:rFonts w:ascii="Times New Roman" w:hAnsi="Times New Roman" w:cs="Times New Roman"/>
          <w:color w:val="000000"/>
        </w:rPr>
        <w:t>e) proporcjonalność pomocy: kwota pomocy musi być ograniczona do minimum niezbędnego do przyciągnięcia dodatkowych inwestycji lub działalności w danym obszar</w:t>
      </w:r>
      <w:r>
        <w:rPr>
          <w:rFonts w:ascii="Times New Roman" w:hAnsi="Times New Roman" w:cs="Times New Roman"/>
          <w:color w:val="000000"/>
        </w:rPr>
        <w:t xml:space="preserve">ze. Odrębnie określono wymagania dla decyzji inwestycyjnej i dla decyzji lokalizacyjnej. W pierwszym przypadku </w:t>
      </w:r>
      <w:r w:rsidRPr="00C35AFF">
        <w:rPr>
          <w:rFonts w:ascii="Times New Roman" w:hAnsi="Times New Roman" w:cs="Times New Roman"/>
          <w:color w:val="000000"/>
        </w:rPr>
        <w:t xml:space="preserve">kwota pomocy nie powinna przekraczać minimum niezbędnego do uczynienia projektu wystarczająco rentownym, np. do podniesienia jego wewnętrznej stopy zwrotu powyżej zwykłej stopy zwrotu stosowanej przez przedsiębiorstwo w innych </w:t>
      </w:r>
      <w:r w:rsidRPr="00C35AFF">
        <w:rPr>
          <w:rFonts w:ascii="Times New Roman" w:hAnsi="Times New Roman" w:cs="Times New Roman"/>
          <w:color w:val="000000"/>
        </w:rPr>
        <w:lastRenderedPageBreak/>
        <w:t>podobnych projektach inwestycyjnych</w:t>
      </w:r>
      <w:r>
        <w:rPr>
          <w:rFonts w:ascii="Times New Roman" w:hAnsi="Times New Roman" w:cs="Times New Roman"/>
          <w:color w:val="000000"/>
        </w:rPr>
        <w:t xml:space="preserve">. W drugim zaś przypadku </w:t>
      </w:r>
      <w:r w:rsidRPr="00C35AFF">
        <w:rPr>
          <w:rFonts w:ascii="Times New Roman" w:hAnsi="Times New Roman" w:cs="Times New Roman"/>
          <w:color w:val="000000"/>
        </w:rPr>
        <w:t xml:space="preserve">kwota pomocy nie powinna przekraczać różnicy pomiędzy bieżącą wartością netto inwestycji </w:t>
      </w:r>
      <w:r>
        <w:rPr>
          <w:rFonts w:ascii="Times New Roman" w:hAnsi="Times New Roman" w:cs="Times New Roman"/>
          <w:color w:val="000000"/>
        </w:rPr>
        <w:t>na danym</w:t>
      </w:r>
      <w:r w:rsidRPr="00C35AFF">
        <w:rPr>
          <w:rFonts w:ascii="Times New Roman" w:hAnsi="Times New Roman" w:cs="Times New Roman"/>
          <w:color w:val="000000"/>
        </w:rPr>
        <w:t xml:space="preserve"> obszarze z bieżącą wartością netto inwestycji </w:t>
      </w:r>
      <w:r>
        <w:rPr>
          <w:rFonts w:ascii="Times New Roman" w:hAnsi="Times New Roman" w:cs="Times New Roman"/>
          <w:color w:val="000000"/>
        </w:rPr>
        <w:t xml:space="preserve">gdzie indziej zlokalizowanej. Należy uwzględnić </w:t>
      </w:r>
      <w:r w:rsidRPr="00C35AFF">
        <w:rPr>
          <w:rFonts w:ascii="Times New Roman" w:hAnsi="Times New Roman" w:cs="Times New Roman"/>
          <w:color w:val="000000"/>
        </w:rPr>
        <w:t>wszystkie istotne koszty i korzyści, w tym m.in. koszty administracyjne, koszty transportu, koszty szkoleń niepokrytych przez pomoc szkoleniową, jak również różnice pł</w:t>
      </w:r>
      <w:r>
        <w:rPr>
          <w:rFonts w:ascii="Times New Roman" w:hAnsi="Times New Roman" w:cs="Times New Roman"/>
          <w:color w:val="000000"/>
        </w:rPr>
        <w:t>ac. W obu przypadkach określone zostały maksymalne poziomy intensywności pomocy</w:t>
      </w:r>
      <w:r w:rsidRPr="002067D7">
        <w:rPr>
          <w:rFonts w:ascii="Times New Roman" w:hAnsi="Times New Roman" w:cs="Times New Roman"/>
          <w:color w:val="000000"/>
        </w:rPr>
        <w:t xml:space="preserve">; </w:t>
      </w:r>
    </w:p>
    <w:p w:rsidR="00501317" w:rsidRDefault="00501317" w:rsidP="005013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7D7">
        <w:rPr>
          <w:rFonts w:ascii="Times New Roman" w:hAnsi="Times New Roman" w:cs="Times New Roman"/>
          <w:color w:val="000000"/>
          <w:sz w:val="24"/>
          <w:szCs w:val="24"/>
        </w:rPr>
        <w:t>f) uniknięcie nadmiernych negatywnych skutków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oddziaływania pomocy na k</w:t>
      </w:r>
      <w:r w:rsidRPr="002067D7">
        <w:rPr>
          <w:rFonts w:ascii="Times New Roman" w:hAnsi="Times New Roman" w:cs="Times New Roman"/>
          <w:color w:val="000000"/>
          <w:sz w:val="24"/>
          <w:szCs w:val="24"/>
        </w:rPr>
        <w:t>onkurencj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2067D7">
        <w:rPr>
          <w:rFonts w:ascii="Times New Roman" w:hAnsi="Times New Roman" w:cs="Times New Roman"/>
          <w:color w:val="000000"/>
          <w:sz w:val="24"/>
          <w:szCs w:val="24"/>
        </w:rPr>
        <w:t xml:space="preserve"> i wymian</w:t>
      </w:r>
      <w:r>
        <w:rPr>
          <w:rFonts w:ascii="Times New Roman" w:hAnsi="Times New Roman" w:cs="Times New Roman"/>
          <w:color w:val="000000"/>
          <w:sz w:val="24"/>
          <w:szCs w:val="24"/>
        </w:rPr>
        <w:t>ę handlową</w:t>
      </w:r>
      <w:r w:rsidRPr="002067D7">
        <w:rPr>
          <w:rFonts w:ascii="Times New Roman" w:hAnsi="Times New Roman" w:cs="Times New Roman"/>
          <w:color w:val="000000"/>
          <w:sz w:val="24"/>
          <w:szCs w:val="24"/>
        </w:rPr>
        <w:t xml:space="preserve"> pomiędzy państwami członkowskimi: negatywne skutki pomocy muszą być wystarczająco ograniczone, aby ogólny wpływ środka był pozytywny</w:t>
      </w:r>
      <w:r>
        <w:rPr>
          <w:rFonts w:ascii="Times New Roman" w:hAnsi="Times New Roman" w:cs="Times New Roman"/>
          <w:color w:val="000000"/>
          <w:sz w:val="24"/>
          <w:szCs w:val="24"/>
        </w:rPr>
        <w:t>. Przypadki pomocy odnoszące się do decyzji inwestycyjnej są oceniane przez Komisję przy uwzględnieniu</w:t>
      </w:r>
      <w:r w:rsidRPr="008C0DF4">
        <w:rPr>
          <w:rFonts w:ascii="Times New Roman" w:hAnsi="Times New Roman" w:cs="Times New Roman"/>
          <w:color w:val="000000"/>
          <w:sz w:val="24"/>
          <w:szCs w:val="24"/>
        </w:rPr>
        <w:t xml:space="preserve"> skutków negatywnych związanych ze wzrostem nadwyżki produkcyjnej w upadających sektorach, zapobieganiem wycofywania się przedsiębiorstw z rynku oraz kwestią znacznej władzy rynkowej. </w:t>
      </w:r>
      <w:r>
        <w:rPr>
          <w:rFonts w:ascii="Times New Roman" w:hAnsi="Times New Roman" w:cs="Times New Roman"/>
          <w:color w:val="000000"/>
          <w:sz w:val="24"/>
          <w:szCs w:val="24"/>
        </w:rPr>
        <w:t>Drugim znaczącym skutkiem pomocy regionalnej jest zmiana lokalizacji działalności przedsiębiorstwa. Gdy beneficjent pomocy likwiduje taką samą lub podobną działalność w innym regionie EOG i przenosi ją do regionu objętego pomocą regionalną w związku z otrzymanym wsparcie to taki negatywny skutek nie zostanie zrównoważony pozytywnymi efektami;</w:t>
      </w:r>
    </w:p>
    <w:p w:rsidR="00D40738" w:rsidRDefault="00501317" w:rsidP="00F50B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g) powinna być zapewniona przejrzystość pomocy, co wymaga od państw członkowskich publikacji na stronach internetowych informacji o zgłoszonych środkach pomocy publicznej, do których dostęp ma być powszechny i nieograniczony</w:t>
      </w:r>
      <w:r w:rsidR="00F50B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0A9D" w:rsidRPr="00F04D63" w:rsidRDefault="00F04D63" w:rsidP="00FF0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D63">
        <w:rPr>
          <w:rFonts w:ascii="Times New Roman" w:hAnsi="Times New Roman" w:cs="Times New Roman"/>
          <w:sz w:val="24"/>
          <w:szCs w:val="24"/>
        </w:rPr>
        <w:t xml:space="preserve">W tabeli </w:t>
      </w:r>
      <w:r>
        <w:rPr>
          <w:rFonts w:ascii="Times New Roman" w:hAnsi="Times New Roman" w:cs="Times New Roman"/>
          <w:sz w:val="24"/>
          <w:szCs w:val="24"/>
        </w:rPr>
        <w:t>1 proszę prześledzić zmiany wielkości pomocy krajów UE i na jaką działalność były przeznaczana jaka część PKB.</w:t>
      </w:r>
    </w:p>
    <w:p w:rsidR="00060B92" w:rsidRDefault="00060B92" w:rsidP="00060B9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Tabela 1. Pomoc publiczna w UE jako procent PKB</w:t>
      </w:r>
      <w:r w:rsidR="00261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wybranych dziedzinach</w:t>
      </w:r>
    </w:p>
    <w:tbl>
      <w:tblPr>
        <w:tblStyle w:val="Tabela-Siatka"/>
        <w:tblW w:w="0" w:type="auto"/>
        <w:tblLook w:val="04A0"/>
      </w:tblPr>
      <w:tblGrid>
        <w:gridCol w:w="2940"/>
        <w:gridCol w:w="821"/>
        <w:gridCol w:w="821"/>
        <w:gridCol w:w="821"/>
        <w:gridCol w:w="931"/>
        <w:gridCol w:w="821"/>
        <w:gridCol w:w="711"/>
        <w:gridCol w:w="711"/>
        <w:gridCol w:w="711"/>
      </w:tblGrid>
      <w:tr w:rsidR="00F12FA2" w:rsidRPr="00F12FA2" w:rsidTr="004A482F"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2010 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2011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2012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2013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2014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2015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2016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2017</w:t>
            </w:r>
          </w:p>
        </w:tc>
      </w:tr>
      <w:tr w:rsidR="00F12FA2" w:rsidRPr="00F12FA2" w:rsidTr="004A482F"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Pomoc ogółem dla UE-28</w:t>
            </w:r>
          </w:p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dla przemysłu i usług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0,4870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0,4333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0,4397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0,4318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0,6702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0,639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0,679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0,722</w:t>
            </w:r>
          </w:p>
        </w:tc>
      </w:tr>
      <w:tr w:rsidR="00F12FA2" w:rsidRPr="00F12FA2" w:rsidTr="004A482F"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Rozwój regionalny</w:t>
            </w:r>
          </w:p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0,1096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0,0978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0,0913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0,0953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0,1106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0,05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0,047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0,053</w:t>
            </w:r>
          </w:p>
        </w:tc>
      </w:tr>
      <w:tr w:rsidR="00F12FA2" w:rsidRPr="00F12FA2" w:rsidTr="004A482F"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Badania, rozwój, innowacje</w:t>
            </w:r>
          </w:p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0,0841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0,0758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0,0709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0,0678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0,0782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0,028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0,038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0,023</w:t>
            </w:r>
          </w:p>
        </w:tc>
      </w:tr>
      <w:tr w:rsidR="00F12FA2" w:rsidRPr="00F12FA2" w:rsidTr="004A482F"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Ochrona środowiska i energia</w:t>
            </w:r>
          </w:p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0,189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0,0968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0,1053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0,1093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0,3123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0,071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0,088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0,09</w:t>
            </w:r>
          </w:p>
        </w:tc>
      </w:tr>
      <w:tr w:rsidR="00F12FA2" w:rsidRPr="00F12FA2" w:rsidTr="004A482F"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Małe i średnie przedsiębiorstwa</w:t>
            </w:r>
          </w:p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0,063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0,0498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0,0514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0,0371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0,0377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0,014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0,014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0,025</w:t>
            </w:r>
          </w:p>
        </w:tc>
      </w:tr>
      <w:tr w:rsidR="00F12FA2" w:rsidRPr="00F12FA2" w:rsidTr="004A482F"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Zatrudnienie</w:t>
            </w:r>
          </w:p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0,0216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0,0207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0,0209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0,0213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0,0195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0,011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0,01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0,011</w:t>
            </w:r>
          </w:p>
        </w:tc>
      </w:tr>
      <w:tr w:rsidR="00F12FA2" w:rsidRPr="00F12FA2" w:rsidTr="004A482F"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Rozwój sektorowy</w:t>
            </w:r>
          </w:p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0,0762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0,0402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0,0448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0,03511</w:t>
            </w:r>
          </w:p>
        </w:tc>
        <w:tc>
          <w:tcPr>
            <w:tcW w:w="0" w:type="auto"/>
          </w:tcPr>
          <w:p w:rsidR="00F12FA2" w:rsidRPr="00F12FA2" w:rsidRDefault="00F12FA2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12FA2">
              <w:rPr>
                <w:rFonts w:ascii="Times New Roman" w:eastAsia="Times New Roman" w:hAnsi="Times New Roman" w:cs="Times New Roman"/>
                <w:bCs/>
                <w:lang w:eastAsia="pl-PL"/>
              </w:rPr>
              <w:t>0,0291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0" w:type="auto"/>
          </w:tcPr>
          <w:p w:rsidR="00F12FA2" w:rsidRPr="00F12FA2" w:rsidRDefault="00AC787A" w:rsidP="007100CB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</w:tbl>
    <w:p w:rsidR="00060B92" w:rsidRDefault="000932D8" w:rsidP="00FF0A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32D8">
        <w:rPr>
          <w:rFonts w:ascii="Times New Roman" w:hAnsi="Times New Roman" w:cs="Times New Roman"/>
        </w:rPr>
        <w:t xml:space="preserve">Źródło: </w:t>
      </w:r>
      <w:proofErr w:type="spellStart"/>
      <w:r w:rsidRPr="000932D8">
        <w:rPr>
          <w:rFonts w:ascii="Times New Roman" w:hAnsi="Times New Roman" w:cs="Times New Roman"/>
        </w:rPr>
        <w:t>Eurostat</w:t>
      </w:r>
      <w:proofErr w:type="spellEnd"/>
    </w:p>
    <w:p w:rsidR="000133A0" w:rsidRPr="000133A0" w:rsidRDefault="000133A0" w:rsidP="000133A0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lastRenderedPageBreak/>
        <w:t>Przykłady</w:t>
      </w:r>
    </w:p>
    <w:p w:rsidR="000133A0" w:rsidRDefault="000133A0" w:rsidP="000133A0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członkowskie, korzystając z wyłączenia grupowego pomocy regionalnej zawiadamiają Komisję o przyjętych środkach pomocy.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nie wniosła sprzeciwu do tak zgłoszonej pomocy regionalnej przeznaczonej na rozwój regionalny i zatrudnienie w przypadku:</w:t>
      </w:r>
    </w:p>
    <w:p w:rsidR="000133A0" w:rsidRDefault="000133A0" w:rsidP="000133A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Niemiec - pomoc na rzecz Hamburger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Rieger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GmbH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produkującej papier i tekturę w formie dotacji w wysokości 32,89 mln euro (Dz. Urz. C 323/1, 2.09.2016);</w:t>
      </w:r>
    </w:p>
    <w:p w:rsidR="000133A0" w:rsidRDefault="000133A0" w:rsidP="000133A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Czech - pomocy dla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Nexen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Corp. na produkcję opon, dętek z gumy i regenerowanie opon z gumy w formie dotacji i odliczeń od podatków o łącznym budżecie 3545,79 mln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Pomoc przeznaczona jest na budowę nowego zakładu regionie o wysokim bezrobociu i niskim standardzie życia, a inwestycja ma przyczynić się do powstania co najmniej 1000 nowych miejsc pracy. (Dz. Urz. C 9/1, 12.01.2016);</w:t>
      </w:r>
    </w:p>
    <w:p w:rsidR="000133A0" w:rsidRDefault="000133A0" w:rsidP="000133A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Wielkiej Brytanii - pomoc dla linii lotniczych działających w tym kraju w formie dotacji o budżecie 60 mln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gbp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Urz. C 292/1, 4.09.2015);</w:t>
      </w:r>
    </w:p>
    <w:p w:rsidR="000133A0" w:rsidRDefault="000133A0" w:rsidP="000133A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Włoch – pomoc na rzecz pasażerskiego transportu lotniczego w formie dotacji w wysokości 0,675 mln euro (Dz. Urz. C 220/1, 17.06.2016);</w:t>
      </w:r>
    </w:p>
    <w:p w:rsidR="000133A0" w:rsidRDefault="000133A0" w:rsidP="000133A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Polski – pomoc dla Parker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Hannifin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ESSC sp. z o.o., zajmującej się doradztwem w zakresie prowadzenia działalności gospodarczej, w formie dotacji w kwocie 1,3 mln zł (SA.38532);</w:t>
      </w:r>
    </w:p>
    <w:p w:rsidR="000133A0" w:rsidRDefault="000133A0" w:rsidP="000133A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Litwy – pomoc na działalność polegającą na przetwarzaniu danych, zarządzaniu stronami internetowymi w formie obniżenia stawki podatkowej o łącznym budżecie 220,51 mln euro (Dz. Urz. C 142/1, 22.04.2016).</w:t>
      </w:r>
    </w:p>
    <w:p w:rsidR="000133A0" w:rsidRPr="000932D8" w:rsidRDefault="00D575AA" w:rsidP="00FF0A9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widać z podanych przykładów pomoc publiczną mogą uzyskać przedsiębiorstwa krajowe, jak i zagraniczne lub korporacje międzynarodowe.</w:t>
      </w:r>
    </w:p>
    <w:sectPr w:rsidR="000133A0" w:rsidRPr="000932D8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compat/>
  <w:rsids>
    <w:rsidRoot w:val="00501317"/>
    <w:rsid w:val="000133A0"/>
    <w:rsid w:val="00060B92"/>
    <w:rsid w:val="00075279"/>
    <w:rsid w:val="000932D8"/>
    <w:rsid w:val="0026193B"/>
    <w:rsid w:val="00501317"/>
    <w:rsid w:val="00AC787A"/>
    <w:rsid w:val="00CC5AEC"/>
    <w:rsid w:val="00D40738"/>
    <w:rsid w:val="00D575AA"/>
    <w:rsid w:val="00EB5C31"/>
    <w:rsid w:val="00F04D63"/>
    <w:rsid w:val="00F07891"/>
    <w:rsid w:val="00F12FA2"/>
    <w:rsid w:val="00F50BD2"/>
    <w:rsid w:val="00F877F0"/>
    <w:rsid w:val="00F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31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4">
    <w:name w:val="CM4"/>
    <w:basedOn w:val="Normalny"/>
    <w:next w:val="Normalny"/>
    <w:uiPriority w:val="99"/>
    <w:rsid w:val="00501317"/>
    <w:pPr>
      <w:suppressAutoHyphens w:val="0"/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styleId="NormalnyWeb">
    <w:name w:val="Normal (Web)"/>
    <w:basedOn w:val="Normalny"/>
    <w:rsid w:val="00FF0A9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link">
    <w:name w:val="nolink"/>
    <w:basedOn w:val="Domylnaczcionkaakapitu"/>
    <w:uiPriority w:val="99"/>
    <w:rsid w:val="00FF0A9D"/>
    <w:rPr>
      <w:rFonts w:cs="Times New Roman"/>
    </w:rPr>
  </w:style>
  <w:style w:type="table" w:styleId="Tabela-Siatka">
    <w:name w:val="Table Grid"/>
    <w:basedOn w:val="Standardowy"/>
    <w:uiPriority w:val="59"/>
    <w:rsid w:val="0006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2017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10</cp:revision>
  <dcterms:created xsi:type="dcterms:W3CDTF">2020-03-25T20:30:00Z</dcterms:created>
  <dcterms:modified xsi:type="dcterms:W3CDTF">2020-03-26T12:12:00Z</dcterms:modified>
</cp:coreProperties>
</file>