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6B" w:rsidRDefault="002A14B8" w:rsidP="002A14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Karolina Piech</w:t>
      </w:r>
    </w:p>
    <w:p w:rsidR="002A14B8" w:rsidRDefault="002A14B8" w:rsidP="002A14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Kryminologii i Nauk o Bezpieczeństwie</w:t>
      </w:r>
    </w:p>
    <w:p w:rsidR="002A14B8" w:rsidRDefault="002A14B8" w:rsidP="002A14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:rsidR="002A14B8" w:rsidRDefault="002A14B8" w:rsidP="002A14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:rsidR="002A14B8" w:rsidRDefault="002A14B8">
      <w:pPr>
        <w:rPr>
          <w:rFonts w:ascii="Times New Roman" w:hAnsi="Times New Roman" w:cs="Times New Roman"/>
          <w:sz w:val="24"/>
          <w:szCs w:val="24"/>
        </w:rPr>
      </w:pPr>
    </w:p>
    <w:p w:rsidR="002A14B8" w:rsidRDefault="002A14B8" w:rsidP="002A1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4B8" w:rsidRPr="002A14B8" w:rsidRDefault="002A14B8" w:rsidP="002A1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4B8">
        <w:rPr>
          <w:rFonts w:ascii="Times New Roman" w:hAnsi="Times New Roman" w:cs="Times New Roman"/>
          <w:b/>
          <w:sz w:val="24"/>
          <w:szCs w:val="24"/>
        </w:rPr>
        <w:t>Zasady zaliczenia ćwiczeń z przedmiotu „Ekonomiczna analiza przestępczości”</w:t>
      </w:r>
    </w:p>
    <w:p w:rsidR="002A14B8" w:rsidRPr="002A14B8" w:rsidRDefault="002A14B8" w:rsidP="002A1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4B8">
        <w:rPr>
          <w:rFonts w:ascii="Times New Roman" w:hAnsi="Times New Roman" w:cs="Times New Roman"/>
          <w:b/>
          <w:sz w:val="24"/>
          <w:szCs w:val="24"/>
        </w:rPr>
        <w:t>Kryminologia, studia niestacjonarne (zaoczne), I stopnia, rok III</w:t>
      </w:r>
    </w:p>
    <w:p w:rsidR="002A14B8" w:rsidRDefault="002A14B8" w:rsidP="002A1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4B8">
        <w:rPr>
          <w:rFonts w:ascii="Times New Roman" w:hAnsi="Times New Roman" w:cs="Times New Roman"/>
          <w:b/>
          <w:sz w:val="24"/>
          <w:szCs w:val="24"/>
        </w:rPr>
        <w:t>Rok akademicki 2019/2020, semestr zimowy</w:t>
      </w:r>
    </w:p>
    <w:p w:rsidR="00B31E8F" w:rsidRPr="002A14B8" w:rsidRDefault="00B31E8F" w:rsidP="002A1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Grupy: 5, 6, 7</w:t>
      </w:r>
    </w:p>
    <w:p w:rsidR="002A14B8" w:rsidRDefault="002A14B8" w:rsidP="001F55B3">
      <w:pPr>
        <w:rPr>
          <w:rFonts w:ascii="Times New Roman" w:hAnsi="Times New Roman" w:cs="Times New Roman"/>
          <w:sz w:val="24"/>
          <w:szCs w:val="24"/>
        </w:rPr>
      </w:pPr>
    </w:p>
    <w:p w:rsidR="002A14B8" w:rsidRDefault="002A14B8" w:rsidP="002A1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4B8" w:rsidRPr="002A14B8" w:rsidRDefault="002A14B8" w:rsidP="002A14B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14B8">
        <w:rPr>
          <w:rFonts w:ascii="Times New Roman" w:hAnsi="Times New Roman" w:cs="Times New Roman"/>
          <w:sz w:val="24"/>
          <w:szCs w:val="24"/>
        </w:rPr>
        <w:t xml:space="preserve">Podstawą uzyskania z ćwiczeń </w:t>
      </w:r>
      <w:r>
        <w:rPr>
          <w:rFonts w:ascii="Times New Roman" w:hAnsi="Times New Roman" w:cs="Times New Roman"/>
          <w:sz w:val="24"/>
          <w:szCs w:val="24"/>
        </w:rPr>
        <w:t xml:space="preserve">oceny </w:t>
      </w:r>
      <w:r w:rsidRPr="002A14B8">
        <w:rPr>
          <w:rFonts w:ascii="Times New Roman" w:hAnsi="Times New Roman" w:cs="Times New Roman"/>
          <w:sz w:val="24"/>
          <w:szCs w:val="24"/>
        </w:rPr>
        <w:t xml:space="preserve">pozytywnej </w:t>
      </w:r>
      <w:r>
        <w:rPr>
          <w:rFonts w:ascii="Times New Roman" w:hAnsi="Times New Roman" w:cs="Times New Roman"/>
          <w:sz w:val="24"/>
          <w:szCs w:val="24"/>
        </w:rPr>
        <w:t>jest obecność na zajęciach oraz uzyskanie co najmniej połowy punktów ze wszystkich poniżej wskazanych rodzajów aktywności studenta.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A14B8" w:rsidRDefault="002A14B8" w:rsidP="002A14B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ma prawo do nieobecności na jednych zajęciach w trakcie całego cyklu trwania zajęć. Każdą kolejną nieobecność student powinien odrobić terminie miesiąca </w:t>
      </w:r>
      <w:r w:rsidRPr="002A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ustania przyczyny nieobecności. Każda nieodrobiona nieobecność skutkuje odjęciem 2 punktów od całkowitej liczby punktów posiadanych przez studenta. Zaliczenie nieobecności </w:t>
      </w:r>
      <w:r w:rsidRPr="002A14B8">
        <w:rPr>
          <w:rFonts w:ascii="Times New Roman" w:hAnsi="Times New Roman" w:cs="Times New Roman"/>
          <w:sz w:val="24"/>
          <w:szCs w:val="24"/>
        </w:rPr>
        <w:t xml:space="preserve"> następuje w formie udzielenia ustnej odpowiedzi </w:t>
      </w:r>
      <w:r>
        <w:rPr>
          <w:rFonts w:ascii="Times New Roman" w:hAnsi="Times New Roman" w:cs="Times New Roman"/>
          <w:sz w:val="24"/>
          <w:szCs w:val="24"/>
        </w:rPr>
        <w:t>na pytanie</w:t>
      </w:r>
      <w:r w:rsidRPr="002A14B8">
        <w:rPr>
          <w:rFonts w:ascii="Times New Roman" w:hAnsi="Times New Roman" w:cs="Times New Roman"/>
          <w:sz w:val="24"/>
          <w:szCs w:val="24"/>
        </w:rPr>
        <w:t xml:space="preserve"> dotyczące materii omawianej na danych zajęciach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5B3" w:rsidRPr="001F55B3" w:rsidRDefault="001F55B3" w:rsidP="001F55B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55B3" w:rsidRPr="001F55B3" w:rsidRDefault="002A14B8" w:rsidP="001F55B3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14B8">
        <w:rPr>
          <w:rFonts w:ascii="Times New Roman" w:hAnsi="Times New Roman" w:cs="Times New Roman"/>
          <w:sz w:val="24"/>
          <w:szCs w:val="24"/>
        </w:rPr>
        <w:t>Studenci posiadający zgodę Dziekana na Indywidualną O</w:t>
      </w:r>
      <w:r>
        <w:rPr>
          <w:rFonts w:ascii="Times New Roman" w:hAnsi="Times New Roman" w:cs="Times New Roman"/>
          <w:sz w:val="24"/>
          <w:szCs w:val="24"/>
        </w:rPr>
        <w:t xml:space="preserve">rganizację Studiów, Indywidualny </w:t>
      </w:r>
      <w:r w:rsidRPr="002A14B8">
        <w:rPr>
          <w:rFonts w:ascii="Times New Roman" w:hAnsi="Times New Roman" w:cs="Times New Roman"/>
          <w:sz w:val="24"/>
          <w:szCs w:val="24"/>
        </w:rPr>
        <w:t>Tok Studiów lub eksternistyczne zaliczenie ćwiczeń, proszeni są o kontakt w terminie dwóch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4B8">
        <w:rPr>
          <w:rFonts w:ascii="Times New Roman" w:hAnsi="Times New Roman" w:cs="Times New Roman"/>
          <w:sz w:val="24"/>
          <w:szCs w:val="24"/>
        </w:rPr>
        <w:t>tygodni od pierwszych zajęć (mailowy lub osobiście podc</w:t>
      </w:r>
      <w:r>
        <w:rPr>
          <w:rFonts w:ascii="Times New Roman" w:hAnsi="Times New Roman" w:cs="Times New Roman"/>
          <w:sz w:val="24"/>
          <w:szCs w:val="24"/>
        </w:rPr>
        <w:t xml:space="preserve">zas konsultacji) celem ustalenia </w:t>
      </w:r>
      <w:r w:rsidRPr="002A14B8">
        <w:rPr>
          <w:rFonts w:ascii="Times New Roman" w:hAnsi="Times New Roman" w:cs="Times New Roman"/>
          <w:sz w:val="24"/>
          <w:szCs w:val="24"/>
        </w:rPr>
        <w:t>zasad oraz terminu zaliczenia ćwiczeń.</w:t>
      </w:r>
    </w:p>
    <w:p w:rsidR="002A14B8" w:rsidRPr="002A14B8" w:rsidRDefault="002A14B8" w:rsidP="002A14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F55B3" w:rsidRDefault="001F55B3" w:rsidP="001F55B3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aktywności studenta oraz liczba punktów możliwych do zdobycia:</w:t>
      </w:r>
    </w:p>
    <w:p w:rsidR="001F55B3" w:rsidRPr="001F55B3" w:rsidRDefault="001F55B3" w:rsidP="001F55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F55B3" w:rsidTr="001F55B3">
        <w:trPr>
          <w:trHeight w:val="443"/>
        </w:trPr>
        <w:tc>
          <w:tcPr>
            <w:tcW w:w="4814" w:type="dxa"/>
          </w:tcPr>
          <w:p w:rsidR="001F55B3" w:rsidRPr="001F55B3" w:rsidRDefault="001F55B3" w:rsidP="001F5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3">
              <w:rPr>
                <w:rFonts w:ascii="Times New Roman" w:hAnsi="Times New Roman" w:cs="Times New Roman"/>
                <w:b/>
                <w:sz w:val="24"/>
                <w:szCs w:val="24"/>
              </w:rPr>
              <w:t>Forma aktywności</w:t>
            </w:r>
          </w:p>
        </w:tc>
        <w:tc>
          <w:tcPr>
            <w:tcW w:w="4814" w:type="dxa"/>
          </w:tcPr>
          <w:p w:rsidR="001F55B3" w:rsidRPr="001F55B3" w:rsidRDefault="001F55B3" w:rsidP="001F5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3">
              <w:rPr>
                <w:rFonts w:ascii="Times New Roman" w:hAnsi="Times New Roman" w:cs="Times New Roman"/>
                <w:b/>
                <w:sz w:val="24"/>
                <w:szCs w:val="24"/>
              </w:rPr>
              <w:t>Maksymalna liczba punktów</w:t>
            </w:r>
          </w:p>
        </w:tc>
      </w:tr>
      <w:tr w:rsidR="001F55B3" w:rsidTr="001F55B3">
        <w:trPr>
          <w:trHeight w:val="913"/>
        </w:trPr>
        <w:tc>
          <w:tcPr>
            <w:tcW w:w="4814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 studenta podczas dyskusji</w:t>
            </w:r>
          </w:p>
        </w:tc>
        <w:tc>
          <w:tcPr>
            <w:tcW w:w="4814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pkt za każde zajęcia, łącznie nie więcej niż 10 pkt </w:t>
            </w:r>
          </w:p>
        </w:tc>
      </w:tr>
      <w:tr w:rsidR="001F55B3" w:rsidTr="001F55B3">
        <w:trPr>
          <w:trHeight w:val="443"/>
        </w:trPr>
        <w:tc>
          <w:tcPr>
            <w:tcW w:w="4814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Esej </w:t>
            </w:r>
          </w:p>
        </w:tc>
        <w:tc>
          <w:tcPr>
            <w:tcW w:w="4814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</w:tr>
      <w:tr w:rsidR="001F55B3" w:rsidTr="001F55B3">
        <w:trPr>
          <w:trHeight w:val="443"/>
        </w:trPr>
        <w:tc>
          <w:tcPr>
            <w:tcW w:w="4814" w:type="dxa"/>
          </w:tcPr>
          <w:p w:rsidR="001F55B3" w:rsidRDefault="00EC124B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Ćwiczenie praktyczne </w:t>
            </w:r>
          </w:p>
        </w:tc>
        <w:tc>
          <w:tcPr>
            <w:tcW w:w="4814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pkt </w:t>
            </w:r>
          </w:p>
        </w:tc>
      </w:tr>
      <w:tr w:rsidR="001F55B3" w:rsidTr="001F55B3">
        <w:trPr>
          <w:trHeight w:val="443"/>
        </w:trPr>
        <w:tc>
          <w:tcPr>
            <w:tcW w:w="4814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Prezentacja </w:t>
            </w:r>
          </w:p>
        </w:tc>
        <w:tc>
          <w:tcPr>
            <w:tcW w:w="4814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pkt </w:t>
            </w:r>
          </w:p>
        </w:tc>
      </w:tr>
    </w:tbl>
    <w:p w:rsidR="001F55B3" w:rsidRDefault="001F55B3" w:rsidP="001F5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5B3" w:rsidRDefault="001F55B3" w:rsidP="001F5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5B3" w:rsidRDefault="001F55B3" w:rsidP="00B31E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uzyskuje ocenę semestralną odpowiadającą liczbie punktów zgodnie z poniższą skalą:</w:t>
      </w:r>
    </w:p>
    <w:p w:rsidR="001F55B3" w:rsidRDefault="001F55B3" w:rsidP="001F55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55B3" w:rsidTr="001F55B3">
        <w:tc>
          <w:tcPr>
            <w:tcW w:w="4531" w:type="dxa"/>
          </w:tcPr>
          <w:p w:rsidR="001F55B3" w:rsidRPr="001F55B3" w:rsidRDefault="001F55B3" w:rsidP="001F5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liczba punktów </w:t>
            </w:r>
          </w:p>
        </w:tc>
        <w:tc>
          <w:tcPr>
            <w:tcW w:w="4531" w:type="dxa"/>
          </w:tcPr>
          <w:p w:rsidR="001F55B3" w:rsidRPr="001F55B3" w:rsidRDefault="001F55B3" w:rsidP="001F5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</w:t>
            </w:r>
          </w:p>
        </w:tc>
      </w:tr>
      <w:tr w:rsidR="001F55B3" w:rsidTr="001F55B3">
        <w:tc>
          <w:tcPr>
            <w:tcW w:w="4531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37 - 40</w:t>
            </w:r>
          </w:p>
        </w:tc>
        <w:tc>
          <w:tcPr>
            <w:tcW w:w="4531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dobry (5)</w:t>
            </w:r>
          </w:p>
        </w:tc>
      </w:tr>
      <w:tr w:rsidR="001F55B3" w:rsidTr="001F55B3">
        <w:tc>
          <w:tcPr>
            <w:tcW w:w="4531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33 - 36</w:t>
            </w:r>
          </w:p>
        </w:tc>
        <w:tc>
          <w:tcPr>
            <w:tcW w:w="4531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Dobry plus (4,5)</w:t>
            </w:r>
          </w:p>
        </w:tc>
      </w:tr>
      <w:tr w:rsidR="001F55B3" w:rsidTr="001F55B3">
        <w:tc>
          <w:tcPr>
            <w:tcW w:w="4531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29 - 32</w:t>
            </w:r>
          </w:p>
        </w:tc>
        <w:tc>
          <w:tcPr>
            <w:tcW w:w="4531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Dobry (4)</w:t>
            </w:r>
          </w:p>
        </w:tc>
      </w:tr>
      <w:tr w:rsidR="001F55B3" w:rsidTr="001F55B3">
        <w:tc>
          <w:tcPr>
            <w:tcW w:w="4531" w:type="dxa"/>
          </w:tcPr>
          <w:p w:rsidR="001F55B3" w:rsidRDefault="00B31E8F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25 - 28</w:t>
            </w:r>
          </w:p>
        </w:tc>
        <w:tc>
          <w:tcPr>
            <w:tcW w:w="4531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Dostateczny plus (3,5)</w:t>
            </w:r>
          </w:p>
        </w:tc>
      </w:tr>
      <w:tr w:rsidR="001F55B3" w:rsidTr="001F55B3">
        <w:tc>
          <w:tcPr>
            <w:tcW w:w="4531" w:type="dxa"/>
          </w:tcPr>
          <w:p w:rsidR="001F55B3" w:rsidRDefault="00B31E8F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– 24 </w:t>
            </w:r>
          </w:p>
        </w:tc>
        <w:tc>
          <w:tcPr>
            <w:tcW w:w="4531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Dostateczny (3)</w:t>
            </w:r>
          </w:p>
        </w:tc>
      </w:tr>
      <w:tr w:rsidR="001F55B3" w:rsidTr="001F55B3">
        <w:tc>
          <w:tcPr>
            <w:tcW w:w="4531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i mniej </w:t>
            </w:r>
          </w:p>
        </w:tc>
        <w:tc>
          <w:tcPr>
            <w:tcW w:w="4531" w:type="dxa"/>
          </w:tcPr>
          <w:p w:rsidR="001F55B3" w:rsidRDefault="001F55B3" w:rsidP="001F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Niedostateczny (2) </w:t>
            </w:r>
          </w:p>
        </w:tc>
      </w:tr>
    </w:tbl>
    <w:p w:rsidR="001F55B3" w:rsidRDefault="001F55B3" w:rsidP="001F5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E8F" w:rsidRDefault="00B31E8F" w:rsidP="00B31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E8F" w:rsidRDefault="00B31E8F" w:rsidP="00B31E8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1E8F" w:rsidRDefault="00B31E8F" w:rsidP="00B31E8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Esej stanowi pisemne przedstawienie przez studenta problemu na dowolny wybrany temat, wchodzący w zakres przedmiotu. Studenci obowiązani są oddać prowadzącemu esej nie później niż do końca listopada, dozwolona jest forma elektroniczna. </w:t>
      </w:r>
    </w:p>
    <w:p w:rsidR="00B31E8F" w:rsidRDefault="00B31E8F" w:rsidP="00B31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1E8F" w:rsidRPr="00B31E8F" w:rsidRDefault="00B31E8F" w:rsidP="00B31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1E8F" w:rsidRDefault="00B31E8F" w:rsidP="00B31E8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E8F">
        <w:rPr>
          <w:rFonts w:ascii="Times New Roman" w:hAnsi="Times New Roman" w:cs="Times New Roman"/>
          <w:sz w:val="24"/>
          <w:szCs w:val="24"/>
        </w:rPr>
        <w:t xml:space="preserve">Studenci przygotowują prezentacje w stworzonych samodzielnie grupach, zgodnie z podziałem tematów dokonanym na  pierwszych zajęciach. </w:t>
      </w:r>
    </w:p>
    <w:p w:rsidR="00B31E8F" w:rsidRDefault="00B31E8F" w:rsidP="00B31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090" w:rsidRDefault="00F36090" w:rsidP="00B31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AC4" w:rsidRDefault="00F36090" w:rsidP="00EB6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zajęć</w:t>
      </w:r>
    </w:p>
    <w:p w:rsidR="00EB6AC4" w:rsidRDefault="00EB6AC4" w:rsidP="00EB6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E8F" w:rsidRDefault="00F278A2" w:rsidP="00EB6A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pracy; p</w:t>
      </w:r>
      <w:r w:rsidR="00F36090">
        <w:rPr>
          <w:rFonts w:ascii="Times New Roman" w:hAnsi="Times New Roman" w:cs="Times New Roman"/>
          <w:sz w:val="24"/>
          <w:szCs w:val="24"/>
        </w:rPr>
        <w:t>ojęcie ekonomicznej analizy prawa i jej podstawowe założenia.</w:t>
      </w:r>
    </w:p>
    <w:p w:rsidR="00F36090" w:rsidRDefault="00F36090" w:rsidP="00EB6A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Ekonomiczne podejście do przestępczości – zasady, funkcje, zagadnienie wolnej woli sprawcy czynu zabronionego, kryteria wyboru dokonywanego przez sprawcę,  koszty przestępczości. </w:t>
      </w:r>
    </w:p>
    <w:p w:rsidR="00F36090" w:rsidRDefault="00F36090" w:rsidP="00EB6A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Ekonomiczne modele przestępczości</w:t>
      </w:r>
    </w:p>
    <w:p w:rsidR="00EB6AC4" w:rsidRPr="00EB6AC4" w:rsidRDefault="00F36090" w:rsidP="00F360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Sankcja optymalna i optymalny poziom przestępczości. </w:t>
      </w:r>
    </w:p>
    <w:p w:rsidR="00EB6AC4" w:rsidRDefault="00EB6AC4" w:rsidP="00F36090">
      <w:pPr>
        <w:rPr>
          <w:rFonts w:ascii="Times New Roman" w:hAnsi="Times New Roman" w:cs="Times New Roman"/>
          <w:b/>
          <w:sz w:val="24"/>
          <w:szCs w:val="24"/>
        </w:rPr>
      </w:pPr>
    </w:p>
    <w:p w:rsidR="00F36090" w:rsidRDefault="00F36090" w:rsidP="00F36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 podstawowa:</w:t>
      </w:r>
    </w:p>
    <w:p w:rsidR="00F36090" w:rsidRDefault="00F36090" w:rsidP="00F36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Szczepaniec</w:t>
      </w:r>
      <w:proofErr w:type="spellEnd"/>
      <w:r>
        <w:rPr>
          <w:rFonts w:ascii="Times New Roman" w:hAnsi="Times New Roman" w:cs="Times New Roman"/>
          <w:sz w:val="24"/>
          <w:szCs w:val="24"/>
        </w:rPr>
        <w:t>, Teoria ekonomiczna w prawie karnym, Warszawa 2012</w:t>
      </w:r>
    </w:p>
    <w:p w:rsidR="00EB6AC4" w:rsidRDefault="00EB6AC4" w:rsidP="00F36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090" w:rsidRDefault="00F36090" w:rsidP="00F36090">
      <w:pPr>
        <w:jc w:val="both"/>
        <w:rPr>
          <w:rFonts w:ascii="Times New Roman" w:hAnsi="Times New Roman" w:cs="Times New Roman"/>
          <w:sz w:val="24"/>
          <w:szCs w:val="24"/>
        </w:rPr>
      </w:pPr>
      <w:r w:rsidRPr="00EB6AC4">
        <w:rPr>
          <w:rFonts w:ascii="Times New Roman" w:hAnsi="Times New Roman" w:cs="Times New Roman"/>
          <w:b/>
          <w:sz w:val="24"/>
          <w:szCs w:val="24"/>
        </w:rPr>
        <w:lastRenderedPageBreak/>
        <w:t>Literatura uzupełniająca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6090" w:rsidRPr="00EB6AC4" w:rsidRDefault="00F36090" w:rsidP="00EB6A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C4">
        <w:rPr>
          <w:rFonts w:ascii="Times New Roman" w:hAnsi="Times New Roman" w:cs="Times New Roman"/>
          <w:sz w:val="24"/>
          <w:szCs w:val="24"/>
        </w:rPr>
        <w:t xml:space="preserve">J. Błachut, A. </w:t>
      </w:r>
      <w:proofErr w:type="spellStart"/>
      <w:r w:rsidRPr="00EB6AC4">
        <w:rPr>
          <w:rFonts w:ascii="Times New Roman" w:hAnsi="Times New Roman" w:cs="Times New Roman"/>
          <w:sz w:val="24"/>
          <w:szCs w:val="24"/>
        </w:rPr>
        <w:t>Gaberle</w:t>
      </w:r>
      <w:proofErr w:type="spellEnd"/>
      <w:r w:rsidRPr="00EB6AC4">
        <w:rPr>
          <w:rFonts w:ascii="Times New Roman" w:hAnsi="Times New Roman" w:cs="Times New Roman"/>
          <w:sz w:val="24"/>
          <w:szCs w:val="24"/>
        </w:rPr>
        <w:t>, K. Krajewski, Kryminologia, Gdańsk 2001</w:t>
      </w:r>
    </w:p>
    <w:p w:rsidR="00F36090" w:rsidRPr="00EB6AC4" w:rsidRDefault="00F36090" w:rsidP="00EB6A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C4">
        <w:rPr>
          <w:rFonts w:ascii="Times New Roman" w:hAnsi="Times New Roman" w:cs="Times New Roman"/>
          <w:sz w:val="24"/>
          <w:szCs w:val="24"/>
        </w:rPr>
        <w:t>J. Błachut, Problemy związane z pomiarem przestępczości, Warszawa 2007</w:t>
      </w:r>
    </w:p>
    <w:p w:rsidR="00F36090" w:rsidRPr="00EB6AC4" w:rsidRDefault="00F36090" w:rsidP="00EB6A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C4">
        <w:rPr>
          <w:rFonts w:ascii="Times New Roman" w:hAnsi="Times New Roman" w:cs="Times New Roman"/>
          <w:sz w:val="24"/>
          <w:szCs w:val="24"/>
        </w:rPr>
        <w:t xml:space="preserve">J. Stelmach, M. </w:t>
      </w:r>
      <w:proofErr w:type="spellStart"/>
      <w:r w:rsidRPr="00EB6AC4">
        <w:rPr>
          <w:rFonts w:ascii="Times New Roman" w:hAnsi="Times New Roman" w:cs="Times New Roman"/>
          <w:sz w:val="24"/>
          <w:szCs w:val="24"/>
        </w:rPr>
        <w:t>Soniewicka</w:t>
      </w:r>
      <w:proofErr w:type="spellEnd"/>
      <w:r w:rsidRPr="00EB6AC4">
        <w:rPr>
          <w:rFonts w:ascii="Times New Roman" w:hAnsi="Times New Roman" w:cs="Times New Roman"/>
          <w:sz w:val="24"/>
          <w:szCs w:val="24"/>
        </w:rPr>
        <w:t>, Analiza ekonomiczna w zastosowaniach prawniczych, Warszawa 2007</w:t>
      </w:r>
    </w:p>
    <w:p w:rsidR="00F36090" w:rsidRPr="00EB6AC4" w:rsidRDefault="00EB6AC4" w:rsidP="00EB6A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C4">
        <w:rPr>
          <w:rFonts w:ascii="Times New Roman" w:hAnsi="Times New Roman" w:cs="Times New Roman"/>
          <w:sz w:val="24"/>
          <w:szCs w:val="24"/>
        </w:rPr>
        <w:t>P. Burzyński, Ustawowe określenie sankcji karnej, Warszawa 2008</w:t>
      </w:r>
    </w:p>
    <w:p w:rsidR="00EB6AC4" w:rsidRPr="00EB6AC4" w:rsidRDefault="00EB6AC4" w:rsidP="00EB6A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C4">
        <w:rPr>
          <w:rFonts w:ascii="Times New Roman" w:hAnsi="Times New Roman" w:cs="Times New Roman"/>
          <w:sz w:val="24"/>
          <w:szCs w:val="24"/>
        </w:rPr>
        <w:t xml:space="preserve">N. Christie, Dogodna ilość przestępstw, Warszawa 2004 </w:t>
      </w:r>
    </w:p>
    <w:p w:rsidR="00EB6AC4" w:rsidRPr="00EB6AC4" w:rsidRDefault="00EB6AC4" w:rsidP="00EB6A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C4">
        <w:rPr>
          <w:rFonts w:ascii="Times New Roman" w:hAnsi="Times New Roman" w:cs="Times New Roman"/>
          <w:sz w:val="24"/>
          <w:szCs w:val="24"/>
        </w:rPr>
        <w:t>K. Krajewski, Teorie kryminologiczne a prawo karne, Kraków 1994</w:t>
      </w:r>
    </w:p>
    <w:p w:rsidR="00EB6AC4" w:rsidRPr="00EB6AC4" w:rsidRDefault="00EB6AC4" w:rsidP="00EB6A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C4">
        <w:rPr>
          <w:rFonts w:ascii="Times New Roman" w:hAnsi="Times New Roman" w:cs="Times New Roman"/>
          <w:sz w:val="24"/>
          <w:szCs w:val="24"/>
        </w:rPr>
        <w:t>M. Królikowski, Sprawiedliwość karania w społeczeństwach liberalnych. Zasada proporcjonalności, Warszawa 2005</w:t>
      </w:r>
    </w:p>
    <w:p w:rsidR="00EB6AC4" w:rsidRDefault="00EB6AC4" w:rsidP="00F36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AC4" w:rsidRDefault="00EB6AC4" w:rsidP="00F36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AC4" w:rsidRPr="00EB6AC4" w:rsidRDefault="00EB6AC4" w:rsidP="00F278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C4">
        <w:rPr>
          <w:rFonts w:ascii="Times New Roman" w:hAnsi="Times New Roman" w:cs="Times New Roman"/>
          <w:b/>
          <w:sz w:val="24"/>
          <w:szCs w:val="24"/>
        </w:rPr>
        <w:t xml:space="preserve">Tematy prezentacji: </w:t>
      </w:r>
    </w:p>
    <w:p w:rsidR="00EB6AC4" w:rsidRDefault="00EB6AC4" w:rsidP="00F278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Ekonomiczna analiza przestępczości – wady i zalety</w:t>
      </w:r>
    </w:p>
    <w:p w:rsidR="00F278A2" w:rsidRDefault="00F278A2" w:rsidP="00F278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wyboru przy podejmowaniu ryzyka przestępnego</w:t>
      </w:r>
    </w:p>
    <w:p w:rsidR="00F278A2" w:rsidRDefault="00F278A2" w:rsidP="00F278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Przestępca racjonalny – próba stworzenia modelu.</w:t>
      </w:r>
    </w:p>
    <w:p w:rsidR="00F278A2" w:rsidRDefault="00F278A2" w:rsidP="00F278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Ekonomiczny model przestępczości a polskie prawo karne – próba oceny</w:t>
      </w:r>
    </w:p>
    <w:p w:rsidR="00F278A2" w:rsidRDefault="00F278A2" w:rsidP="00F278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Sankcja optymalna – próba wyboru w odniesieniu do określonych grup przestępstw</w:t>
      </w:r>
    </w:p>
    <w:p w:rsidR="00F278A2" w:rsidRPr="00F278A2" w:rsidRDefault="00F278A2" w:rsidP="00F278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Racjonalna polityka karna</w:t>
      </w:r>
    </w:p>
    <w:sectPr w:rsidR="00F278A2" w:rsidRPr="00F2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B767C"/>
    <w:multiLevelType w:val="hybridMultilevel"/>
    <w:tmpl w:val="FB023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E06A7"/>
    <w:multiLevelType w:val="hybridMultilevel"/>
    <w:tmpl w:val="C67C39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7F5C18"/>
    <w:multiLevelType w:val="hybridMultilevel"/>
    <w:tmpl w:val="BB00A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ED52F0"/>
    <w:multiLevelType w:val="hybridMultilevel"/>
    <w:tmpl w:val="1ED2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AE"/>
    <w:rsid w:val="000A0750"/>
    <w:rsid w:val="001F55B3"/>
    <w:rsid w:val="002A14B8"/>
    <w:rsid w:val="007D3AAE"/>
    <w:rsid w:val="00B31E8F"/>
    <w:rsid w:val="00B5566B"/>
    <w:rsid w:val="00CA0D4D"/>
    <w:rsid w:val="00EB6AC4"/>
    <w:rsid w:val="00EC124B"/>
    <w:rsid w:val="00F278A2"/>
    <w:rsid w:val="00F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66D57-367D-4C6D-9FDF-9D5B2BF1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4B8"/>
    <w:pPr>
      <w:ind w:left="720"/>
      <w:contextualSpacing/>
    </w:pPr>
  </w:style>
  <w:style w:type="table" w:styleId="Tabela-Siatka">
    <w:name w:val="Table Grid"/>
    <w:basedOn w:val="Standardowy"/>
    <w:uiPriority w:val="39"/>
    <w:rsid w:val="001F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Piech</dc:creator>
  <cp:keywords/>
  <dc:description/>
  <cp:lastModifiedBy>Karolina Piech</cp:lastModifiedBy>
  <cp:revision>2</cp:revision>
  <dcterms:created xsi:type="dcterms:W3CDTF">2019-12-10T16:06:00Z</dcterms:created>
  <dcterms:modified xsi:type="dcterms:W3CDTF">2019-12-10T16:06:00Z</dcterms:modified>
</cp:coreProperties>
</file>