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„Prawa człowieka i systemy ich ochrony”</w:t>
      </w:r>
    </w:p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Pytania egzaminacyjne </w:t>
      </w:r>
    </w:p>
    <w:p w:rsidR="00AB43DF" w:rsidRPr="00C762C3" w:rsidRDefault="00862071" w:rsidP="00AB43DF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II rok N</w:t>
      </w:r>
      <w:r w:rsidR="00AB43DF" w:rsidRPr="00C762C3">
        <w:rPr>
          <w:b/>
          <w:lang w:val="pl-PL"/>
        </w:rPr>
        <w:t xml:space="preserve">SP </w:t>
      </w:r>
    </w:p>
    <w:p w:rsidR="00AB43DF" w:rsidRPr="00C762C3" w:rsidRDefault="000D7D21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2019</w:t>
      </w:r>
      <w:r w:rsidR="008E3C34" w:rsidRPr="00C762C3">
        <w:rPr>
          <w:b/>
          <w:lang w:val="pl-PL"/>
        </w:rPr>
        <w:t>/20</w:t>
      </w:r>
      <w:bookmarkStart w:id="0" w:name="_GoBack"/>
      <w:bookmarkEnd w:id="0"/>
      <w:r w:rsidRPr="00C762C3">
        <w:rPr>
          <w:b/>
          <w:lang w:val="pl-PL"/>
        </w:rPr>
        <w:t>20</w:t>
      </w:r>
    </w:p>
    <w:p w:rsidR="00AB43DF" w:rsidRPr="00C762C3" w:rsidRDefault="00D93C19" w:rsidP="00AB43DF">
      <w:pPr>
        <w:tabs>
          <w:tab w:val="left" w:pos="5970"/>
        </w:tabs>
        <w:spacing w:line="360" w:lineRule="auto"/>
        <w:ind w:firstLine="360"/>
        <w:rPr>
          <w:lang w:val="pl-PL"/>
        </w:rPr>
      </w:pPr>
      <w:r w:rsidRPr="00C762C3">
        <w:rPr>
          <w:lang w:val="pl-PL"/>
        </w:rPr>
        <w:t>Prowadzący</w:t>
      </w:r>
      <w:r w:rsidR="00AB43DF" w:rsidRPr="00C762C3">
        <w:rPr>
          <w:lang w:val="pl-PL"/>
        </w:rPr>
        <w:t xml:space="preserve">: </w:t>
      </w:r>
      <w:r w:rsidRPr="00C762C3">
        <w:rPr>
          <w:lang w:val="pl-PL"/>
        </w:rPr>
        <w:t>prof. dr hab. Mariusz Jabłoński, d</w:t>
      </w:r>
      <w:r w:rsidR="00AB43DF" w:rsidRPr="00C762C3">
        <w:rPr>
          <w:lang w:val="pl-PL"/>
        </w:rPr>
        <w:t xml:space="preserve">r </w:t>
      </w:r>
      <w:r w:rsidR="000D7D21" w:rsidRPr="00C762C3">
        <w:rPr>
          <w:lang w:val="pl-PL"/>
        </w:rPr>
        <w:t xml:space="preserve">hab. </w:t>
      </w:r>
      <w:r w:rsidR="00AB43DF" w:rsidRPr="00C762C3">
        <w:rPr>
          <w:lang w:val="pl-PL"/>
        </w:rPr>
        <w:t xml:space="preserve">Sylwia Jarosz-Żukowska </w:t>
      </w:r>
    </w:p>
    <w:p w:rsidR="00AB43DF" w:rsidRPr="00C762C3" w:rsidRDefault="00AB43DF" w:rsidP="00AB43DF">
      <w:pPr>
        <w:spacing w:line="360" w:lineRule="auto"/>
        <w:rPr>
          <w:b/>
          <w:lang w:val="pl-PL"/>
        </w:rPr>
      </w:pP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Stadia rozwoju praw człowieka </w:t>
      </w:r>
    </w:p>
    <w:p w:rsidR="003F6606" w:rsidRPr="00C762C3" w:rsidRDefault="003F6606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treści praw człowieka i zakresu ich ochrony </w:t>
      </w:r>
    </w:p>
    <w:p w:rsidR="00D32AF7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Funkcje praw człowieka </w:t>
      </w:r>
    </w:p>
    <w:p w:rsidR="00C762C3" w:rsidRPr="00C762C3" w:rsidRDefault="00C762C3" w:rsidP="00C762C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762C3">
        <w:rPr>
          <w:rFonts w:ascii="Times New Roman" w:hAnsi="Times New Roman" w:cs="Times New Roman"/>
          <w:color w:val="auto"/>
        </w:rPr>
        <w:t xml:space="preserve">Idea praw człowieka w ujęciu </w:t>
      </w:r>
      <w:proofErr w:type="spellStart"/>
      <w:r w:rsidRPr="00C762C3">
        <w:rPr>
          <w:rFonts w:ascii="Times New Roman" w:hAnsi="Times New Roman" w:cs="Times New Roman"/>
          <w:color w:val="auto"/>
        </w:rPr>
        <w:t>prawnonaturalnym</w:t>
      </w:r>
      <w:proofErr w:type="spellEnd"/>
      <w:r w:rsidRPr="00C762C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62C3">
        <w:rPr>
          <w:rFonts w:ascii="Times New Roman" w:hAnsi="Times New Roman" w:cs="Times New Roman"/>
          <w:color w:val="auto"/>
        </w:rPr>
        <w:t>deliberatywnym</w:t>
      </w:r>
      <w:proofErr w:type="spellEnd"/>
      <w:r w:rsidRPr="00C762C3">
        <w:rPr>
          <w:rFonts w:ascii="Times New Roman" w:hAnsi="Times New Roman" w:cs="Times New Roman"/>
          <w:color w:val="auto"/>
        </w:rPr>
        <w:t>, dyskursywnym oraz w ujęciu szkoły protestu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Koncepcja „generacji”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Źródła prawa praw człowieka </w:t>
      </w:r>
    </w:p>
    <w:p w:rsidR="00AB43DF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Klasyfikacja </w:t>
      </w:r>
      <w:r w:rsidR="00AB43DF" w:rsidRPr="00C762C3">
        <w:rPr>
          <w:lang w:val="pl-PL"/>
        </w:rPr>
        <w:t xml:space="preserve">wolności </w:t>
      </w:r>
      <w:r w:rsidRPr="00C762C3">
        <w:rPr>
          <w:lang w:val="pl-PL"/>
        </w:rPr>
        <w:t xml:space="preserve">i praw </w:t>
      </w:r>
      <w:r w:rsidR="00AB43DF" w:rsidRPr="00C762C3">
        <w:rPr>
          <w:lang w:val="pl-PL"/>
        </w:rPr>
        <w:t>jednostki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a prawo </w:t>
      </w:r>
    </w:p>
    <w:p w:rsidR="00104342" w:rsidRPr="00C762C3" w:rsidRDefault="00104342" w:rsidP="00104342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Koncepcja pozytywnych obowiązków państwa w ochronie wolności jednostki </w:t>
      </w:r>
    </w:p>
    <w:p w:rsidR="00AB43DF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Negatywny i pozytywny obowiązek ochrony życia ludzkiego w orzecznictwie Europejskiego Trybunału Praw Człowieka</w:t>
      </w:r>
    </w:p>
    <w:p w:rsidR="0035258E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zastosowania „śmiertelnej siły” przez funkcjonariuszy w orzecznictwie Europejskiego Trybunału Praw Człowieka </w:t>
      </w:r>
    </w:p>
    <w:p w:rsidR="00AB43DF" w:rsidRPr="00C762C3" w:rsidRDefault="0035258E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„godnej śmierci” w orzecznictwie Europejskiego Trybunału Praw Człowieka</w:t>
      </w:r>
    </w:p>
    <w:p w:rsidR="0080130F" w:rsidRPr="00961421" w:rsidRDefault="00323B9E" w:rsidP="0080130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61421">
        <w:rPr>
          <w:color w:val="000000" w:themeColor="text1"/>
          <w:lang w:val="pl-PL"/>
        </w:rPr>
        <w:t xml:space="preserve">Sfery ochrony prywatności jednostki </w:t>
      </w:r>
      <w:r w:rsidR="0080130F" w:rsidRPr="00961421">
        <w:rPr>
          <w:color w:val="000000" w:themeColor="text1"/>
          <w:lang w:val="pl-PL"/>
        </w:rPr>
        <w:t xml:space="preserve"> </w:t>
      </w:r>
    </w:p>
    <w:p w:rsidR="00CA38D5" w:rsidRPr="00C762C3" w:rsidRDefault="008D2989" w:rsidP="00CA38D5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prywatności a inne wolności i prawa – problem kolizji</w:t>
      </w:r>
      <w:r w:rsidR="00CA38D5" w:rsidRPr="00C762C3">
        <w:rPr>
          <w:lang w:val="pl-PL"/>
        </w:rPr>
        <w:t xml:space="preserve"> w orzecznictwie Europejskiego Trybunału Praw Człowieka</w:t>
      </w:r>
    </w:p>
    <w:p w:rsidR="00170DF0" w:rsidRPr="00136E09" w:rsidRDefault="00170DF0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136E09">
        <w:rPr>
          <w:lang w:val="pl-PL"/>
        </w:rPr>
        <w:t>Autonomia prokreacyjna</w:t>
      </w:r>
      <w:r w:rsidR="002468A3" w:rsidRPr="00136E09">
        <w:rPr>
          <w:lang w:val="pl-PL"/>
        </w:rPr>
        <w:t xml:space="preserve"> i tożsamość płciowa</w:t>
      </w:r>
      <w:r w:rsidRPr="00136E09">
        <w:rPr>
          <w:lang w:val="pl-PL"/>
        </w:rPr>
        <w:t xml:space="preserve"> jednostki </w:t>
      </w:r>
    </w:p>
    <w:p w:rsidR="002F58BC" w:rsidRPr="007D7634" w:rsidRDefault="002F58BC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136E09">
        <w:rPr>
          <w:lang w:val="pl-PL"/>
        </w:rPr>
        <w:t xml:space="preserve">Autonomia informacyjna jednostki w orzecznictwie Trybunału Konstytucyjnego i </w:t>
      </w:r>
      <w:r w:rsidRPr="007D7634">
        <w:rPr>
          <w:color w:val="000000" w:themeColor="text1"/>
          <w:lang w:val="pl-PL"/>
        </w:rPr>
        <w:t>Europejskiego Trybunału Praw Człowieka</w:t>
      </w:r>
    </w:p>
    <w:p w:rsidR="00987372" w:rsidRPr="007D7634" w:rsidRDefault="00985861" w:rsidP="002327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>Gradacja intensywności</w:t>
      </w:r>
      <w:r w:rsidR="00987372" w:rsidRPr="007D7634">
        <w:rPr>
          <w:color w:val="000000" w:themeColor="text1"/>
          <w:lang w:val="pl-PL"/>
        </w:rPr>
        <w:t xml:space="preserve"> ochrony wolności wypowiedzi </w:t>
      </w:r>
      <w:r w:rsidR="009000B5" w:rsidRPr="007D7634">
        <w:rPr>
          <w:color w:val="000000" w:themeColor="text1"/>
          <w:lang w:val="pl-PL"/>
        </w:rPr>
        <w:t xml:space="preserve">w </w:t>
      </w:r>
      <w:r w:rsidR="00987372" w:rsidRPr="007D7634">
        <w:rPr>
          <w:color w:val="000000" w:themeColor="text1"/>
          <w:lang w:val="pl-PL"/>
        </w:rPr>
        <w:t xml:space="preserve">orzecznictwie Europejskiego Trybunału Praw Człowieka </w:t>
      </w:r>
    </w:p>
    <w:p w:rsidR="00987372" w:rsidRPr="007D7634" w:rsidRDefault="002A12E9" w:rsidP="00987372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Granice wolności </w:t>
      </w:r>
      <w:r w:rsidR="00987372" w:rsidRPr="007D7634">
        <w:rPr>
          <w:color w:val="000000" w:themeColor="text1"/>
          <w:lang w:val="pl-PL"/>
        </w:rPr>
        <w:t xml:space="preserve">wypowiedzi dziennikarskiej w orzecznictwie Europejskiego Trybunału Praw Człowieka </w:t>
      </w:r>
    </w:p>
    <w:p w:rsidR="00987372" w:rsidRPr="00C762C3" w:rsidRDefault="0098737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wypowiedzi a tzw. mowa nienawiści </w:t>
      </w:r>
    </w:p>
    <w:p w:rsidR="009000B5" w:rsidRPr="00C762C3" w:rsidRDefault="00C7553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lastRenderedPageBreak/>
        <w:t xml:space="preserve">Aspekt pozytywny i negatywny wolności pracy w orzecznictwie Trybunału Konstytucyjnego </w:t>
      </w:r>
    </w:p>
    <w:p w:rsidR="00C75532" w:rsidRPr="00C762C3" w:rsidRDefault="00C75532" w:rsidP="00C75532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pracy przymusowej i obowiązki państwa w zakresie jej przeciwdziałania w orzecznictwie Europejskiego Trybunału Praw Człowieka </w:t>
      </w:r>
    </w:p>
    <w:p w:rsidR="00C75532" w:rsidRPr="00C762C3" w:rsidRDefault="00287A3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tortur, innego okrutnego lub poniżającego traktowania lub karania w systemie Rady Europy  </w:t>
      </w:r>
    </w:p>
    <w:p w:rsidR="009D3726" w:rsidRDefault="002468A3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Zakres ochrony własności</w:t>
      </w:r>
      <w:r w:rsidR="009D3726" w:rsidRPr="00C762C3">
        <w:rPr>
          <w:lang w:val="pl-PL"/>
        </w:rPr>
        <w:t xml:space="preserve"> w orzecznictwie Europejskiego Trybunału Praw Człowieka </w:t>
      </w:r>
    </w:p>
    <w:p w:rsidR="00CC2188" w:rsidRPr="00C762C3" w:rsidRDefault="00CC2188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 xml:space="preserve">Przesłanki dopuszczalności pozbawienia własności </w:t>
      </w:r>
      <w:r w:rsidR="009979FC">
        <w:rPr>
          <w:lang w:val="pl-PL"/>
        </w:rPr>
        <w:t xml:space="preserve">w </w:t>
      </w:r>
      <w:r>
        <w:rPr>
          <w:lang w:val="pl-PL"/>
        </w:rPr>
        <w:t xml:space="preserve">orzecznictwie </w:t>
      </w:r>
      <w:r w:rsidRPr="00C762C3">
        <w:rPr>
          <w:lang w:val="pl-PL"/>
        </w:rPr>
        <w:t>Europejskiego Trybunału Praw Człowieka</w:t>
      </w:r>
    </w:p>
    <w:p w:rsidR="009D3726" w:rsidRPr="007D7634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Pojęcie zgromadzenia i jego rodzaje w ustawodawstwie polskim </w:t>
      </w:r>
    </w:p>
    <w:p w:rsidR="0091452A" w:rsidRPr="00BB477C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BB477C">
        <w:rPr>
          <w:lang w:val="pl-PL"/>
        </w:rPr>
        <w:t xml:space="preserve">Obowiązki państwa w zakresie gwarancji wolności zgromadzeń 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katalog praw </w:t>
      </w:r>
      <w:proofErr w:type="spellStart"/>
      <w:r w:rsidRPr="00C762C3">
        <w:rPr>
          <w:lang w:val="pl-PL"/>
        </w:rPr>
        <w:t>niederogowalnych</w:t>
      </w:r>
      <w:proofErr w:type="spellEnd"/>
      <w:r w:rsidRPr="00C762C3">
        <w:rPr>
          <w:lang w:val="pl-PL"/>
        </w:rPr>
        <w:t xml:space="preserve"> w prawie krajowym i międzynarodowym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Klauzule antydyskryminacyjne w prawie krajowym i międzynarodowym </w:t>
      </w:r>
    </w:p>
    <w:p w:rsidR="00F70BF0" w:rsidRPr="00BB477C" w:rsidRDefault="00F70BF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Rodzaje dyskryminacji i ich specyfika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Obywatelstwo i jego wpływ na zakres realizacji wolności i praw w systemie krajowym (na przykładzie RP)</w:t>
      </w:r>
    </w:p>
    <w:p w:rsidR="00AB43DF" w:rsidRPr="009959E4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Podmiot </w:t>
      </w:r>
      <w:r w:rsidR="00CB07DF" w:rsidRPr="009959E4">
        <w:rPr>
          <w:color w:val="000000" w:themeColor="text1"/>
          <w:lang w:val="pl-PL"/>
        </w:rPr>
        <w:t>ochrony wolności i praw w prawie międzynarodowym i krajowym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formy horyzontalnego działania konstytucyjnych wolności i praw </w:t>
      </w:r>
    </w:p>
    <w:p w:rsidR="00AB43DF" w:rsidRPr="00C762C3" w:rsidRDefault="00CB07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Zasady i p</w:t>
      </w:r>
      <w:r w:rsidR="00AB43DF" w:rsidRPr="00C762C3">
        <w:rPr>
          <w:lang w:val="pl-PL"/>
        </w:rPr>
        <w:t>rzesłanki d</w:t>
      </w:r>
      <w:r w:rsidR="00D93C19" w:rsidRPr="00C762C3">
        <w:rPr>
          <w:lang w:val="pl-PL"/>
        </w:rPr>
        <w:t xml:space="preserve">opuszczalności ograniczeń </w:t>
      </w:r>
      <w:r w:rsidR="00AB43DF" w:rsidRPr="00C762C3">
        <w:rPr>
          <w:lang w:val="pl-PL"/>
        </w:rPr>
        <w:t xml:space="preserve">wolności </w:t>
      </w:r>
      <w:r w:rsidR="00D93C19" w:rsidRPr="00C762C3">
        <w:rPr>
          <w:lang w:val="pl-PL"/>
        </w:rPr>
        <w:t xml:space="preserve">i praw </w:t>
      </w:r>
    </w:p>
    <w:p w:rsidR="00AB43DF" w:rsidRPr="00BB477C" w:rsidRDefault="009959E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Elementy treści prawa do sądu </w:t>
      </w:r>
      <w:r w:rsidR="00BB477C" w:rsidRPr="00BB477C">
        <w:rPr>
          <w:lang w:val="pl-PL"/>
        </w:rPr>
        <w:t xml:space="preserve">i jego gwarancje </w:t>
      </w:r>
      <w:r w:rsidR="00E11747" w:rsidRPr="00BB477C">
        <w:rPr>
          <w:lang w:val="pl-PL"/>
        </w:rPr>
        <w:t>w orzecznictwie Trybunału Konstytucyjnego</w:t>
      </w:r>
      <w:r w:rsidRPr="00BB477C">
        <w:rPr>
          <w:lang w:val="pl-PL"/>
        </w:rPr>
        <w:t xml:space="preserve"> i Europejskiego Trybunału Praw Człowieka </w:t>
      </w:r>
    </w:p>
    <w:p w:rsidR="00AB43DF" w:rsidRPr="00C762C3" w:rsidRDefault="002A61F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Model</w:t>
      </w:r>
      <w:r w:rsidR="00B20BEF">
        <w:rPr>
          <w:lang w:val="pl-PL"/>
        </w:rPr>
        <w:t>e</w:t>
      </w:r>
      <w:r>
        <w:rPr>
          <w:lang w:val="pl-PL"/>
        </w:rPr>
        <w:t xml:space="preserve"> s</w:t>
      </w:r>
      <w:r w:rsidR="00AB43DF" w:rsidRPr="00C762C3">
        <w:rPr>
          <w:lang w:val="pl-PL"/>
        </w:rPr>
        <w:t>ka</w:t>
      </w:r>
      <w:r w:rsidR="00B20BEF">
        <w:rPr>
          <w:lang w:val="pl-PL"/>
        </w:rPr>
        <w:t>rgi konstytucyjnej</w:t>
      </w:r>
    </w:p>
    <w:p w:rsidR="00AB43DF" w:rsidRPr="009959E4" w:rsidRDefault="001761D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Modele instytucji ombudsmana </w:t>
      </w:r>
      <w:r w:rsidR="00AB43DF" w:rsidRPr="009959E4">
        <w:rPr>
          <w:color w:val="000000" w:themeColor="text1"/>
          <w:lang w:val="pl-PL"/>
        </w:rPr>
        <w:t xml:space="preserve">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Zasady międzynarodowej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Filary </w:t>
      </w:r>
      <w:proofErr w:type="spellStart"/>
      <w:r w:rsidRPr="00C762C3">
        <w:rPr>
          <w:lang w:val="pl-PL"/>
        </w:rPr>
        <w:t>ONZ-owskiego</w:t>
      </w:r>
      <w:proofErr w:type="spellEnd"/>
      <w:r w:rsidRPr="00C762C3">
        <w:rPr>
          <w:lang w:val="pl-PL"/>
        </w:rPr>
        <w:t xml:space="preserve"> systemu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Komitet Praw Człowieka ONZ </w:t>
      </w:r>
    </w:p>
    <w:p w:rsidR="00D62C92" w:rsidRDefault="00D62C92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Procedury skargowe w systemie ochrony praw człowieka ONZ</w:t>
      </w:r>
    </w:p>
    <w:p w:rsidR="00680F74" w:rsidRPr="009E33E6" w:rsidRDefault="00680F7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E33E6">
        <w:rPr>
          <w:color w:val="000000" w:themeColor="text1"/>
          <w:lang w:val="pl-PL"/>
        </w:rPr>
        <w:t xml:space="preserve">Petycja </w:t>
      </w:r>
      <w:r w:rsidR="009E33E6" w:rsidRPr="009E33E6">
        <w:rPr>
          <w:color w:val="000000" w:themeColor="text1"/>
          <w:lang w:val="pl-PL"/>
        </w:rPr>
        <w:t xml:space="preserve">indywidualna do Komitetu Praw Człowieka </w:t>
      </w:r>
      <w:r w:rsidR="009E33E6">
        <w:rPr>
          <w:color w:val="000000" w:themeColor="text1"/>
          <w:lang w:val="pl-PL"/>
        </w:rPr>
        <w:t>ONZ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Uniwersalizm i regionalizm w ochronie praw człowieka </w:t>
      </w:r>
    </w:p>
    <w:p w:rsidR="00AB43DF" w:rsidRPr="00572DE1" w:rsidRDefault="00572DE1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572DE1">
        <w:rPr>
          <w:color w:val="000000" w:themeColor="text1"/>
          <w:lang w:val="pl-PL"/>
        </w:rPr>
        <w:t>Europejska Komisja na rzecz Demokracji przez Prawo („k</w:t>
      </w:r>
      <w:r w:rsidR="00D82421" w:rsidRPr="00572DE1">
        <w:rPr>
          <w:color w:val="000000" w:themeColor="text1"/>
          <w:lang w:val="pl-PL"/>
        </w:rPr>
        <w:t>omisja wenecka</w:t>
      </w:r>
      <w:r w:rsidRPr="00572DE1">
        <w:rPr>
          <w:color w:val="000000" w:themeColor="text1"/>
          <w:lang w:val="pl-PL"/>
        </w:rPr>
        <w:t>”)</w:t>
      </w:r>
    </w:p>
    <w:p w:rsidR="00AB43DF" w:rsidRPr="00C762C3" w:rsidRDefault="00221D6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Organy i instytucje </w:t>
      </w:r>
      <w:r w:rsidR="00AB43DF" w:rsidRPr="00C762C3">
        <w:rPr>
          <w:lang w:val="pl-PL"/>
        </w:rPr>
        <w:t xml:space="preserve">Rady Europy i ich kompetencje  </w:t>
      </w:r>
    </w:p>
    <w:p w:rsidR="008D1527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Europejska Konwencja o Ochronie Praw Człowieka i Podstawowych Wolności</w:t>
      </w:r>
    </w:p>
    <w:p w:rsidR="00AB43DF" w:rsidRPr="000551FD" w:rsidRDefault="008D1527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0551FD">
        <w:rPr>
          <w:color w:val="000000" w:themeColor="text1"/>
          <w:lang w:val="pl-PL"/>
        </w:rPr>
        <w:t xml:space="preserve"> Specyfika </w:t>
      </w:r>
      <w:r w:rsidR="009E33E6" w:rsidRPr="000551FD">
        <w:rPr>
          <w:color w:val="000000" w:themeColor="text1"/>
          <w:lang w:val="pl-PL"/>
        </w:rPr>
        <w:t xml:space="preserve">protokołów dodatkowych do Europejskiej Konwencji Praw Człowieka </w:t>
      </w:r>
    </w:p>
    <w:p w:rsidR="00426143" w:rsidRPr="00C762C3" w:rsidRDefault="00426143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Europejska Konwencja Praw Człowieka jako „instrument żyjący”</w:t>
      </w:r>
    </w:p>
    <w:p w:rsidR="003C71B8" w:rsidRPr="00AA55FC" w:rsidRDefault="003C71B8" w:rsidP="003C71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C762C3">
        <w:rPr>
          <w:lang w:val="pl-PL"/>
        </w:rPr>
        <w:lastRenderedPageBreak/>
        <w:t xml:space="preserve">Koncepcja marginesu oceny państw w orzecznictwie Europejskiego Trybunału Praw </w:t>
      </w:r>
      <w:r w:rsidRPr="00AA55FC">
        <w:rPr>
          <w:color w:val="000000" w:themeColor="text1"/>
          <w:lang w:val="pl-PL"/>
        </w:rPr>
        <w:t xml:space="preserve">Człowieka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 Skarga indywidualna do Europejskiego Trybunału Praw Człowieka</w:t>
      </w:r>
      <w:r w:rsidR="0051458E" w:rsidRPr="00AA55FC">
        <w:rPr>
          <w:color w:val="000000" w:themeColor="text1"/>
          <w:lang w:val="pl-PL"/>
        </w:rPr>
        <w:t xml:space="preserve"> – przesłanki dopuszczalności</w:t>
      </w:r>
    </w:p>
    <w:p w:rsidR="00DC0135" w:rsidRPr="00BB477C" w:rsidRDefault="00DC0135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Koncepcja ofiary naruszenia praw konwencyjnych w orzecznictwie Europejskiego Trybunału Praw Człowieka </w:t>
      </w:r>
    </w:p>
    <w:p w:rsidR="001E2F60" w:rsidRPr="00AA55FC" w:rsidRDefault="001E2F6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Przesłanki niedopuszcza</w:t>
      </w:r>
      <w:r w:rsidR="00091F51" w:rsidRPr="00AA55FC">
        <w:rPr>
          <w:color w:val="000000" w:themeColor="text1"/>
          <w:lang w:val="pl-PL"/>
        </w:rPr>
        <w:t>lności skargi indywidualnej do Europejskiego Trybunału Praw Człowieka</w:t>
      </w:r>
    </w:p>
    <w:p w:rsidR="00840858" w:rsidRPr="00AA55FC" w:rsidRDefault="0084085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Prawo do skutecznego środka odwoławczego</w:t>
      </w:r>
      <w:r w:rsidR="008664AF" w:rsidRPr="00AA55FC">
        <w:rPr>
          <w:color w:val="000000" w:themeColor="text1"/>
          <w:lang w:val="pl-PL"/>
        </w:rPr>
        <w:t xml:space="preserve"> w orzecznictwie Europejskiego Trybunału Praw Człowieka </w:t>
      </w:r>
      <w:r w:rsidRPr="00AA55FC">
        <w:rPr>
          <w:color w:val="000000" w:themeColor="text1"/>
          <w:lang w:val="pl-PL"/>
        </w:rPr>
        <w:t xml:space="preserve"> </w:t>
      </w:r>
    </w:p>
    <w:p w:rsidR="00F072AD" w:rsidRPr="00AA55FC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Postępowanie w sprawie skargi indywidualnej do Europejskiego Trybunału Praw Człowieka</w:t>
      </w:r>
    </w:p>
    <w:p w:rsidR="00F93150" w:rsidRPr="00C762C3" w:rsidRDefault="00F93150" w:rsidP="00F9315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Charakter prawny i skutki wyroków Europejskiego Trybunału Praw Człowieka </w:t>
      </w:r>
    </w:p>
    <w:p w:rsidR="00F93150" w:rsidRPr="00AA55FC" w:rsidRDefault="00F9315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Środki wykonania </w:t>
      </w:r>
      <w:r w:rsidR="00AA55FC" w:rsidRPr="00AA55FC">
        <w:rPr>
          <w:color w:val="000000" w:themeColor="text1"/>
          <w:lang w:val="pl-PL"/>
        </w:rPr>
        <w:t xml:space="preserve">wyroków Europejskiego Trybunału Praw Człowieka </w:t>
      </w:r>
      <w:r w:rsidRPr="00AA55FC">
        <w:rPr>
          <w:color w:val="000000" w:themeColor="text1"/>
          <w:lang w:val="pl-PL"/>
        </w:rPr>
        <w:t xml:space="preserve">w prawie polskim </w:t>
      </w:r>
    </w:p>
    <w:p w:rsidR="00AB43DF" w:rsidRPr="00C762C3" w:rsidRDefault="005936B9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Nadzór nad w</w:t>
      </w:r>
      <w:r w:rsidR="00AB43DF" w:rsidRPr="00C762C3">
        <w:rPr>
          <w:lang w:val="pl-PL"/>
        </w:rPr>
        <w:t>ykonywanie</w:t>
      </w:r>
      <w:r>
        <w:rPr>
          <w:lang w:val="pl-PL"/>
        </w:rPr>
        <w:t>m</w:t>
      </w:r>
      <w:r w:rsidR="00AB43DF" w:rsidRPr="00C762C3">
        <w:rPr>
          <w:lang w:val="pl-PL"/>
        </w:rPr>
        <w:t xml:space="preserve"> </w:t>
      </w:r>
      <w:r w:rsidR="00F072AD" w:rsidRPr="00C762C3">
        <w:rPr>
          <w:lang w:val="pl-PL"/>
        </w:rPr>
        <w:t>wyroków Europejskiego Trybunału Praw Człowieka</w:t>
      </w:r>
    </w:p>
    <w:p w:rsidR="002D2136" w:rsidRPr="00C762C3" w:rsidRDefault="002D2136" w:rsidP="002D213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proofErr w:type="spellStart"/>
      <w:r w:rsidRPr="00C762C3">
        <w:rPr>
          <w:bCs/>
        </w:rPr>
        <w:t>Obowiązki</w:t>
      </w:r>
      <w:proofErr w:type="spellEnd"/>
      <w:r w:rsidRPr="00C762C3">
        <w:rPr>
          <w:bCs/>
        </w:rPr>
        <w:t xml:space="preserve"> </w:t>
      </w:r>
      <w:proofErr w:type="spellStart"/>
      <w:r w:rsidRPr="00C762C3">
        <w:rPr>
          <w:bCs/>
        </w:rPr>
        <w:t>państwa</w:t>
      </w:r>
      <w:proofErr w:type="spellEnd"/>
      <w:r w:rsidRPr="00C762C3">
        <w:rPr>
          <w:bCs/>
        </w:rPr>
        <w:t xml:space="preserve"> z </w:t>
      </w:r>
      <w:proofErr w:type="spellStart"/>
      <w:r w:rsidRPr="00C762C3">
        <w:rPr>
          <w:bCs/>
        </w:rPr>
        <w:t>tytułu</w:t>
      </w:r>
      <w:proofErr w:type="spellEnd"/>
      <w:r w:rsidRPr="00C762C3">
        <w:rPr>
          <w:bCs/>
        </w:rPr>
        <w:t xml:space="preserve"> </w:t>
      </w:r>
      <w:proofErr w:type="spellStart"/>
      <w:r w:rsidR="00426143" w:rsidRPr="00C762C3">
        <w:rPr>
          <w:bCs/>
        </w:rPr>
        <w:t>negatywnego</w:t>
      </w:r>
      <w:proofErr w:type="spellEnd"/>
      <w:r w:rsidR="00426143" w:rsidRPr="00C762C3">
        <w:rPr>
          <w:bCs/>
        </w:rPr>
        <w:t xml:space="preserve"> </w:t>
      </w:r>
      <w:proofErr w:type="spellStart"/>
      <w:r w:rsidRPr="00C762C3">
        <w:rPr>
          <w:bCs/>
        </w:rPr>
        <w:t>wyroku</w:t>
      </w:r>
      <w:proofErr w:type="spellEnd"/>
      <w:r w:rsidRPr="00C762C3">
        <w:rPr>
          <w:bCs/>
        </w:rPr>
        <w:t xml:space="preserve"> </w:t>
      </w:r>
      <w:proofErr w:type="spellStart"/>
      <w:r w:rsidRPr="00C762C3">
        <w:rPr>
          <w:bCs/>
        </w:rPr>
        <w:t>Europejskiego</w:t>
      </w:r>
      <w:proofErr w:type="spellEnd"/>
      <w:r w:rsidRPr="00C762C3">
        <w:rPr>
          <w:bCs/>
        </w:rPr>
        <w:t xml:space="preserve"> </w:t>
      </w:r>
      <w:r w:rsidRPr="00C762C3">
        <w:rPr>
          <w:lang w:val="pl-PL"/>
        </w:rPr>
        <w:t>Trybunału Praw Człowieka</w:t>
      </w:r>
    </w:p>
    <w:p w:rsidR="00F072AD" w:rsidRPr="00C762C3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Wyroki pilotażowe i </w:t>
      </w:r>
      <w:r w:rsidRPr="00426143">
        <w:rPr>
          <w:i/>
          <w:lang w:val="pl-PL"/>
        </w:rPr>
        <w:t>quasi</w:t>
      </w:r>
      <w:r w:rsidRPr="00C762C3">
        <w:rPr>
          <w:lang w:val="pl-PL"/>
        </w:rPr>
        <w:t>-pilotażowe Europejskiego Trybunału Praw Człowieka</w:t>
      </w:r>
    </w:p>
    <w:p w:rsidR="00AB43DF" w:rsidRDefault="008D2A8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 </w:t>
      </w:r>
      <w:r w:rsidR="00B20BEF">
        <w:rPr>
          <w:lang w:val="pl-PL"/>
        </w:rPr>
        <w:t>Zakres i charakter ochrony wolności i praw jednostki w Karcie</w:t>
      </w:r>
      <w:r w:rsidR="00527DD4" w:rsidRPr="00C762C3">
        <w:rPr>
          <w:lang w:val="pl-PL"/>
        </w:rPr>
        <w:t xml:space="preserve"> Praw Podstawowych UE</w:t>
      </w:r>
    </w:p>
    <w:p w:rsidR="00BB477C" w:rsidRPr="00C762C3" w:rsidRDefault="00BB477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 xml:space="preserve">Efektywność międzynarodowych systemów ochrony praw człowieka </w:t>
      </w:r>
    </w:p>
    <w:p w:rsidR="00AB43DF" w:rsidRDefault="00AB43DF" w:rsidP="00AB43DF">
      <w:pPr>
        <w:spacing w:line="360" w:lineRule="auto"/>
        <w:jc w:val="both"/>
        <w:rPr>
          <w:lang w:val="pl-PL"/>
        </w:rPr>
      </w:pPr>
    </w:p>
    <w:p w:rsidR="00B9324F" w:rsidRDefault="00B9324F" w:rsidP="00B9324F">
      <w:pPr>
        <w:rPr>
          <w:b/>
        </w:rPr>
      </w:pP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podstawowa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Pr="00616B1A" w:rsidRDefault="00B9324F" w:rsidP="00B9324F">
      <w:pPr>
        <w:rPr>
          <w:b/>
        </w:rPr>
      </w:pPr>
      <w:r w:rsidRPr="00616B1A">
        <w:rPr>
          <w:b/>
        </w:rPr>
        <w:t xml:space="preserve">W. </w:t>
      </w:r>
      <w:proofErr w:type="spellStart"/>
      <w:r w:rsidRPr="00616B1A">
        <w:rPr>
          <w:b/>
        </w:rPr>
        <w:t>Brzozowski</w:t>
      </w:r>
      <w:proofErr w:type="spellEnd"/>
      <w:r w:rsidRPr="00616B1A">
        <w:rPr>
          <w:b/>
        </w:rPr>
        <w:t xml:space="preserve">, A. </w:t>
      </w:r>
      <w:proofErr w:type="spellStart"/>
      <w:r w:rsidRPr="00616B1A">
        <w:rPr>
          <w:b/>
        </w:rPr>
        <w:t>Krzywoń</w:t>
      </w:r>
      <w:proofErr w:type="spellEnd"/>
      <w:r w:rsidRPr="00616B1A">
        <w:rPr>
          <w:b/>
        </w:rPr>
        <w:t xml:space="preserve">, M. </w:t>
      </w:r>
      <w:proofErr w:type="spellStart"/>
      <w:r w:rsidRPr="00616B1A">
        <w:rPr>
          <w:b/>
        </w:rPr>
        <w:t>Wiącek</w:t>
      </w:r>
      <w:proofErr w:type="spellEnd"/>
      <w:r w:rsidRPr="00616B1A">
        <w:rPr>
          <w:b/>
        </w:rPr>
        <w:t xml:space="preserve">, </w:t>
      </w:r>
      <w:proofErr w:type="spellStart"/>
      <w:r w:rsidRPr="00616B1A">
        <w:rPr>
          <w:b/>
        </w:rPr>
        <w:t>Prawa</w:t>
      </w:r>
      <w:proofErr w:type="spellEnd"/>
      <w:r w:rsidRPr="00616B1A">
        <w:rPr>
          <w:b/>
        </w:rPr>
        <w:t xml:space="preserve"> </w:t>
      </w:r>
      <w:proofErr w:type="spellStart"/>
      <w:r w:rsidRPr="00616B1A">
        <w:rPr>
          <w:b/>
        </w:rPr>
        <w:t>człowieka</w:t>
      </w:r>
      <w:proofErr w:type="spellEnd"/>
      <w:r w:rsidRPr="00616B1A">
        <w:rPr>
          <w:b/>
        </w:rPr>
        <w:t xml:space="preserve">, Warszawa 2018 </w:t>
      </w:r>
    </w:p>
    <w:p w:rsidR="00B9324F" w:rsidRDefault="00B9324F" w:rsidP="00B9324F">
      <w:r w:rsidRPr="00616B1A">
        <w:t xml:space="preserve">B. </w:t>
      </w:r>
      <w:proofErr w:type="spellStart"/>
      <w:r w:rsidRPr="00616B1A">
        <w:t>Gronowska</w:t>
      </w:r>
      <w:proofErr w:type="spellEnd"/>
      <w:r w:rsidRPr="00616B1A">
        <w:t xml:space="preserve">, T. </w:t>
      </w:r>
      <w:proofErr w:type="spellStart"/>
      <w:r w:rsidRPr="00616B1A">
        <w:t>Jasudowicz</w:t>
      </w:r>
      <w:proofErr w:type="spellEnd"/>
      <w:r w:rsidRPr="00616B1A">
        <w:t xml:space="preserve">, M. </w:t>
      </w:r>
      <w:proofErr w:type="spellStart"/>
      <w:r w:rsidRPr="00616B1A">
        <w:t>Balcerzak</w:t>
      </w:r>
      <w:proofErr w:type="spellEnd"/>
      <w:r w:rsidRPr="00616B1A">
        <w:t xml:space="preserve">, M. </w:t>
      </w:r>
      <w:proofErr w:type="spellStart"/>
      <w:r w:rsidRPr="00616B1A">
        <w:t>Lubiszewski</w:t>
      </w:r>
      <w:proofErr w:type="spellEnd"/>
      <w:r w:rsidRPr="00616B1A">
        <w:t xml:space="preserve">, R. </w:t>
      </w:r>
      <w:proofErr w:type="spellStart"/>
      <w:r w:rsidRPr="00616B1A">
        <w:t>Mizerski</w:t>
      </w:r>
      <w:proofErr w:type="spellEnd"/>
      <w:r>
        <w:t xml:space="preserve">, </w:t>
      </w:r>
      <w:proofErr w:type="spellStart"/>
      <w:r w:rsidRPr="00616B1A">
        <w:t>Prawa</w:t>
      </w:r>
      <w:proofErr w:type="spellEnd"/>
      <w:r w:rsidRPr="00616B1A">
        <w:t xml:space="preserve"> </w:t>
      </w:r>
      <w:proofErr w:type="spellStart"/>
      <w:r w:rsidRPr="00616B1A">
        <w:t>człowieka</w:t>
      </w:r>
      <w:proofErr w:type="spellEnd"/>
      <w:r w:rsidRPr="00616B1A">
        <w:t xml:space="preserve"> i ich </w:t>
      </w:r>
      <w:proofErr w:type="spellStart"/>
      <w:r w:rsidRPr="00616B1A">
        <w:t>ochrona</w:t>
      </w:r>
      <w:proofErr w:type="spellEnd"/>
      <w:r>
        <w:t xml:space="preserve">, Toruń 2010 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Jabłoński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Realizacja</w:t>
      </w:r>
      <w:proofErr w:type="spellEnd"/>
      <w:r w:rsidRPr="001961EF">
        <w:t xml:space="preserve"> i </w:t>
      </w:r>
      <w:proofErr w:type="spellStart"/>
      <w:r w:rsidRPr="001961EF">
        <w:t>ochrona</w:t>
      </w:r>
      <w:proofErr w:type="spellEnd"/>
      <w:r w:rsidRPr="001961EF">
        <w:t xml:space="preserve"> </w:t>
      </w:r>
      <w:proofErr w:type="spellStart"/>
      <w:r w:rsidRPr="001961EF">
        <w:t>konstytucyjnych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jednostki</w:t>
      </w:r>
      <w:proofErr w:type="spellEnd"/>
      <w:r w:rsidRPr="001961EF">
        <w:t xml:space="preserve"> w </w:t>
      </w:r>
      <w:proofErr w:type="spellStart"/>
      <w:r w:rsidRPr="001961EF">
        <w:t>polskim</w:t>
      </w:r>
      <w:proofErr w:type="spellEnd"/>
      <w:r w:rsidRPr="001961EF">
        <w:t xml:space="preserve"> </w:t>
      </w:r>
      <w:proofErr w:type="spellStart"/>
      <w:r w:rsidRPr="001961EF">
        <w:t>porządku</w:t>
      </w:r>
      <w:proofErr w:type="spellEnd"/>
      <w:r w:rsidRPr="001961EF">
        <w:t xml:space="preserve"> </w:t>
      </w:r>
      <w:proofErr w:type="spellStart"/>
      <w:r w:rsidRPr="001961EF">
        <w:t>prawnym</w:t>
      </w:r>
      <w:proofErr w:type="spellEnd"/>
      <w:r>
        <w:t>, Wrocław 2014</w:t>
      </w:r>
    </w:p>
    <w:p w:rsidR="00B9324F" w:rsidRDefault="00B9324F" w:rsidP="00B9324F">
      <w:r w:rsidRPr="00404A08">
        <w:t xml:space="preserve">J. </w:t>
      </w:r>
      <w:proofErr w:type="spellStart"/>
      <w:r w:rsidRPr="00404A08">
        <w:t>Hołda</w:t>
      </w:r>
      <w:proofErr w:type="spellEnd"/>
      <w:r w:rsidRPr="00404A08">
        <w:t xml:space="preserve">, Z. </w:t>
      </w:r>
      <w:proofErr w:type="spellStart"/>
      <w:r w:rsidRPr="00404A08">
        <w:t>Hołda</w:t>
      </w:r>
      <w:proofErr w:type="spellEnd"/>
      <w:r w:rsidRPr="00404A08">
        <w:t xml:space="preserve">, D. </w:t>
      </w:r>
      <w:proofErr w:type="spellStart"/>
      <w:r w:rsidRPr="00404A08">
        <w:t>Ostrowska</w:t>
      </w:r>
      <w:proofErr w:type="spellEnd"/>
      <w:r>
        <w:t xml:space="preserve">, </w:t>
      </w:r>
      <w:proofErr w:type="spellStart"/>
      <w:r w:rsidRPr="00404A08">
        <w:t>Prawa</w:t>
      </w:r>
      <w:proofErr w:type="spellEnd"/>
      <w:r w:rsidRPr="00404A08">
        <w:t xml:space="preserve"> </w:t>
      </w:r>
      <w:proofErr w:type="spellStart"/>
      <w:r w:rsidRPr="00404A08">
        <w:t>człowieka</w:t>
      </w:r>
      <w:proofErr w:type="spellEnd"/>
      <w:r w:rsidRPr="00404A08">
        <w:t xml:space="preserve">. </w:t>
      </w:r>
      <w:proofErr w:type="spellStart"/>
      <w:r w:rsidRPr="00404A08">
        <w:t>Zarys</w:t>
      </w:r>
      <w:proofErr w:type="spellEnd"/>
      <w:r w:rsidRPr="00404A08">
        <w:t xml:space="preserve"> </w:t>
      </w:r>
      <w:proofErr w:type="spellStart"/>
      <w:r w:rsidRPr="00404A08">
        <w:t>wykładu</w:t>
      </w:r>
      <w:proofErr w:type="spellEnd"/>
      <w:r>
        <w:t>, Warszawa 2014</w:t>
      </w:r>
    </w:p>
    <w:p w:rsidR="00B9324F" w:rsidRDefault="00B9324F" w:rsidP="00B9324F">
      <w:pPr>
        <w:rPr>
          <w:b/>
        </w:rPr>
      </w:pPr>
      <w:r>
        <w:br/>
      </w: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uzupełniająca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Default="00B9324F" w:rsidP="00B9324F">
      <w:r w:rsidRPr="001961EF">
        <w:t xml:space="preserve">L. </w:t>
      </w:r>
      <w:proofErr w:type="spellStart"/>
      <w:r w:rsidRPr="001961EF">
        <w:t>Garlicki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Konwencja</w:t>
      </w:r>
      <w:proofErr w:type="spellEnd"/>
      <w:r w:rsidRPr="001961EF">
        <w:t xml:space="preserve"> o </w:t>
      </w:r>
      <w:proofErr w:type="spellStart"/>
      <w:r w:rsidRPr="001961EF">
        <w:t>Ochronie</w:t>
      </w:r>
      <w:proofErr w:type="spellEnd"/>
      <w:r w:rsidRPr="001961EF">
        <w:t xml:space="preserve">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i </w:t>
      </w:r>
      <w:proofErr w:type="spellStart"/>
      <w:r w:rsidRPr="001961EF">
        <w:t>Podstawowych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. </w:t>
      </w:r>
      <w:proofErr w:type="spellStart"/>
      <w:r w:rsidRPr="001961EF">
        <w:t>Komentarz</w:t>
      </w:r>
      <w:proofErr w:type="spellEnd"/>
      <w:r w:rsidRPr="001961EF">
        <w:t xml:space="preserve"> </w:t>
      </w:r>
      <w:proofErr w:type="spellStart"/>
      <w:r w:rsidRPr="001961EF">
        <w:t>tom</w:t>
      </w:r>
      <w:proofErr w:type="spellEnd"/>
      <w:r w:rsidRPr="001961EF">
        <w:t xml:space="preserve"> I </w:t>
      </w:r>
      <w:proofErr w:type="spellStart"/>
      <w:r w:rsidRPr="001961EF">
        <w:t>i</w:t>
      </w:r>
      <w:proofErr w:type="spellEnd"/>
      <w:r w:rsidRPr="001961EF">
        <w:t xml:space="preserve"> II</w:t>
      </w:r>
      <w:r>
        <w:t>, Warszawa 2011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Chmaj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prawa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w </w:t>
      </w:r>
      <w:proofErr w:type="spellStart"/>
      <w:r w:rsidRPr="001961EF">
        <w:t>Konstytucji</w:t>
      </w:r>
      <w:proofErr w:type="spellEnd"/>
      <w:r w:rsidRPr="001961EF">
        <w:t xml:space="preserve"> </w:t>
      </w:r>
      <w:proofErr w:type="spellStart"/>
      <w:r w:rsidRPr="001961EF">
        <w:t>Rzeczypospolitej</w:t>
      </w:r>
      <w:proofErr w:type="spellEnd"/>
      <w:r w:rsidRPr="001961EF">
        <w:t xml:space="preserve"> </w:t>
      </w:r>
      <w:proofErr w:type="spellStart"/>
      <w:r w:rsidRPr="001961EF">
        <w:t>Polskiej</w:t>
      </w:r>
      <w:proofErr w:type="spellEnd"/>
      <w:r>
        <w:t>, Warszawa 2016</w:t>
      </w:r>
    </w:p>
    <w:p w:rsidR="00B9324F" w:rsidRDefault="00B9324F" w:rsidP="00B9324F"/>
    <w:p w:rsidR="00AB78CF" w:rsidRPr="00C762C3" w:rsidRDefault="00AB78CF" w:rsidP="00AB43DF">
      <w:pPr>
        <w:spacing w:line="360" w:lineRule="auto"/>
        <w:jc w:val="both"/>
        <w:rPr>
          <w:lang w:val="pl-PL"/>
        </w:rPr>
      </w:pPr>
    </w:p>
    <w:sectPr w:rsidR="00AB78CF" w:rsidRPr="00C762C3" w:rsidSect="00A75E7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89" w:rsidRDefault="005F1389" w:rsidP="0035258E">
      <w:r>
        <w:separator/>
      </w:r>
    </w:p>
  </w:endnote>
  <w:endnote w:type="continuationSeparator" w:id="0">
    <w:p w:rsidR="005F1389" w:rsidRDefault="005F1389" w:rsidP="0035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89" w:rsidRDefault="005F1389" w:rsidP="0035258E">
      <w:r>
        <w:separator/>
      </w:r>
    </w:p>
  </w:footnote>
  <w:footnote w:type="continuationSeparator" w:id="0">
    <w:p w:rsidR="005F1389" w:rsidRDefault="005F1389" w:rsidP="0035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4806991"/>
    <w:multiLevelType w:val="hybridMultilevel"/>
    <w:tmpl w:val="54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4EAB"/>
    <w:rsid w:val="0001253E"/>
    <w:rsid w:val="00020EB3"/>
    <w:rsid w:val="00053E0D"/>
    <w:rsid w:val="000551FD"/>
    <w:rsid w:val="00074C1F"/>
    <w:rsid w:val="00091F51"/>
    <w:rsid w:val="000A2D5A"/>
    <w:rsid w:val="000D6DCB"/>
    <w:rsid w:val="000D7D21"/>
    <w:rsid w:val="00104342"/>
    <w:rsid w:val="00136E09"/>
    <w:rsid w:val="00170DF0"/>
    <w:rsid w:val="001761D0"/>
    <w:rsid w:val="001E2F60"/>
    <w:rsid w:val="002105BD"/>
    <w:rsid w:val="00215027"/>
    <w:rsid w:val="00221D6D"/>
    <w:rsid w:val="002327D5"/>
    <w:rsid w:val="002468A3"/>
    <w:rsid w:val="002775F4"/>
    <w:rsid w:val="0028628E"/>
    <w:rsid w:val="00287A37"/>
    <w:rsid w:val="00296FED"/>
    <w:rsid w:val="002A12E9"/>
    <w:rsid w:val="002A61FC"/>
    <w:rsid w:val="002D2136"/>
    <w:rsid w:val="002E18CF"/>
    <w:rsid w:val="002F58BC"/>
    <w:rsid w:val="00323B9E"/>
    <w:rsid w:val="0035258E"/>
    <w:rsid w:val="003C71B8"/>
    <w:rsid w:val="003F6606"/>
    <w:rsid w:val="00405735"/>
    <w:rsid w:val="00426143"/>
    <w:rsid w:val="00451391"/>
    <w:rsid w:val="004559A8"/>
    <w:rsid w:val="00485DC6"/>
    <w:rsid w:val="004D4EAB"/>
    <w:rsid w:val="00507CD7"/>
    <w:rsid w:val="0051304E"/>
    <w:rsid w:val="0051458E"/>
    <w:rsid w:val="005149CA"/>
    <w:rsid w:val="00516453"/>
    <w:rsid w:val="00524EBA"/>
    <w:rsid w:val="00527DD4"/>
    <w:rsid w:val="00572DE1"/>
    <w:rsid w:val="005936B9"/>
    <w:rsid w:val="00594A65"/>
    <w:rsid w:val="005F1389"/>
    <w:rsid w:val="006342EC"/>
    <w:rsid w:val="006666D2"/>
    <w:rsid w:val="00680F74"/>
    <w:rsid w:val="006813C5"/>
    <w:rsid w:val="006D5E2A"/>
    <w:rsid w:val="00730A6C"/>
    <w:rsid w:val="007518CE"/>
    <w:rsid w:val="00773375"/>
    <w:rsid w:val="00787EF4"/>
    <w:rsid w:val="007C1CDF"/>
    <w:rsid w:val="007D7634"/>
    <w:rsid w:val="007E371D"/>
    <w:rsid w:val="0080130F"/>
    <w:rsid w:val="00804E66"/>
    <w:rsid w:val="00840858"/>
    <w:rsid w:val="00853D53"/>
    <w:rsid w:val="008555F0"/>
    <w:rsid w:val="00862071"/>
    <w:rsid w:val="008639E1"/>
    <w:rsid w:val="008664AF"/>
    <w:rsid w:val="00866F7A"/>
    <w:rsid w:val="00876DC1"/>
    <w:rsid w:val="008D1527"/>
    <w:rsid w:val="008D2989"/>
    <w:rsid w:val="008D2A88"/>
    <w:rsid w:val="008E19AA"/>
    <w:rsid w:val="008E1DB0"/>
    <w:rsid w:val="008E3C34"/>
    <w:rsid w:val="009000B5"/>
    <w:rsid w:val="0091452A"/>
    <w:rsid w:val="00961421"/>
    <w:rsid w:val="00985861"/>
    <w:rsid w:val="00987372"/>
    <w:rsid w:val="009959E4"/>
    <w:rsid w:val="009979FC"/>
    <w:rsid w:val="009D3726"/>
    <w:rsid w:val="009E1A72"/>
    <w:rsid w:val="009E33E6"/>
    <w:rsid w:val="00A16833"/>
    <w:rsid w:val="00A21B36"/>
    <w:rsid w:val="00AA55FC"/>
    <w:rsid w:val="00AB43DF"/>
    <w:rsid w:val="00AB78CF"/>
    <w:rsid w:val="00AD43B1"/>
    <w:rsid w:val="00AF0980"/>
    <w:rsid w:val="00B20BEF"/>
    <w:rsid w:val="00B9324F"/>
    <w:rsid w:val="00BA565E"/>
    <w:rsid w:val="00BB477C"/>
    <w:rsid w:val="00BD4C85"/>
    <w:rsid w:val="00C06E31"/>
    <w:rsid w:val="00C3394A"/>
    <w:rsid w:val="00C75532"/>
    <w:rsid w:val="00C762C3"/>
    <w:rsid w:val="00CA38D5"/>
    <w:rsid w:val="00CB07DF"/>
    <w:rsid w:val="00CC13DC"/>
    <w:rsid w:val="00CC2188"/>
    <w:rsid w:val="00CD2178"/>
    <w:rsid w:val="00D14CF5"/>
    <w:rsid w:val="00D32AF7"/>
    <w:rsid w:val="00D62C92"/>
    <w:rsid w:val="00D82421"/>
    <w:rsid w:val="00D93C19"/>
    <w:rsid w:val="00DA3138"/>
    <w:rsid w:val="00DC0135"/>
    <w:rsid w:val="00E066D2"/>
    <w:rsid w:val="00E11747"/>
    <w:rsid w:val="00E30304"/>
    <w:rsid w:val="00E91160"/>
    <w:rsid w:val="00ED42A6"/>
    <w:rsid w:val="00F072AD"/>
    <w:rsid w:val="00F70BF0"/>
    <w:rsid w:val="00F93150"/>
    <w:rsid w:val="00FC4F0F"/>
    <w:rsid w:val="00FD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5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58E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58E"/>
    <w:rPr>
      <w:vertAlign w:val="superscript"/>
    </w:rPr>
  </w:style>
  <w:style w:type="paragraph" w:customStyle="1" w:styleId="Default">
    <w:name w:val="Default"/>
    <w:rsid w:val="00C7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Sony</cp:lastModifiedBy>
  <cp:revision>112</cp:revision>
  <dcterms:created xsi:type="dcterms:W3CDTF">2019-10-13T15:09:00Z</dcterms:created>
  <dcterms:modified xsi:type="dcterms:W3CDTF">2019-10-16T15:26:00Z</dcterms:modified>
</cp:coreProperties>
</file>