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98" w:rsidRPr="00B94498" w:rsidRDefault="00B94498" w:rsidP="00B94498">
      <w:pPr>
        <w:jc w:val="both"/>
        <w:rPr>
          <w:b/>
          <w:lang w:val="pl-PL"/>
        </w:rPr>
      </w:pPr>
      <w:r w:rsidRPr="00B94498">
        <w:rPr>
          <w:b/>
          <w:lang w:val="pl-PL"/>
        </w:rPr>
        <w:t>Kazus 1</w:t>
      </w:r>
    </w:p>
    <w:p w:rsidR="00B94498" w:rsidRPr="00B94498" w:rsidRDefault="00B94498" w:rsidP="00B94498">
      <w:pPr>
        <w:jc w:val="both"/>
        <w:rPr>
          <w:lang w:val="pl-PL"/>
        </w:rPr>
      </w:pPr>
      <w:r w:rsidRPr="00B94498">
        <w:rPr>
          <w:lang w:val="pl-PL"/>
        </w:rPr>
        <w:t>Zarządca zawarł umowę o dostawę gazu w imieniu własnym, lecz n</w:t>
      </w:r>
      <w:r>
        <w:rPr>
          <w:lang w:val="pl-PL"/>
        </w:rPr>
        <w:t xml:space="preserve">a rzecz sanowanej spółki z </w:t>
      </w:r>
      <w:proofErr w:type="spellStart"/>
      <w:r>
        <w:rPr>
          <w:lang w:val="pl-PL"/>
        </w:rPr>
        <w:t>o.o</w:t>
      </w:r>
      <w:proofErr w:type="spellEnd"/>
      <w:r>
        <w:rPr>
          <w:lang w:val="pl-PL"/>
        </w:rPr>
        <w:t xml:space="preserve"> </w:t>
      </w:r>
      <w:r w:rsidRPr="00B94498">
        <w:rPr>
          <w:lang w:val="pl-PL"/>
        </w:rPr>
        <w:t>Niestety spółka w restrukturyzacji nie była w stanie przekonać</w:t>
      </w:r>
      <w:r>
        <w:rPr>
          <w:lang w:val="pl-PL"/>
        </w:rPr>
        <w:t xml:space="preserve"> wierzycieli do zawarcia układu </w:t>
      </w:r>
      <w:r w:rsidRPr="00B94498">
        <w:rPr>
          <w:lang w:val="pl-PL"/>
        </w:rPr>
        <w:t>i konieczne było ogłoszenie upadłości. Za zobowiązania z tytu</w:t>
      </w:r>
      <w:r>
        <w:rPr>
          <w:lang w:val="pl-PL"/>
        </w:rPr>
        <w:t>łu dostarczonego gazu nie zapła</w:t>
      </w:r>
      <w:r w:rsidR="009E38E0">
        <w:rPr>
          <w:lang w:val="pl-PL"/>
        </w:rPr>
        <w:t xml:space="preserve">cono. </w:t>
      </w:r>
      <w:bookmarkStart w:id="0" w:name="_GoBack"/>
      <w:bookmarkEnd w:id="0"/>
      <w:r w:rsidRPr="00B94498">
        <w:rPr>
          <w:lang w:val="pl-PL"/>
        </w:rPr>
        <w:t>Dostawca gazu – jeszcze w czasie trwającego postępowania sanacy</w:t>
      </w:r>
      <w:r>
        <w:rPr>
          <w:lang w:val="pl-PL"/>
        </w:rPr>
        <w:t xml:space="preserve">jnego – pozwał spółkę, </w:t>
      </w:r>
      <w:r w:rsidRPr="00B94498">
        <w:rPr>
          <w:lang w:val="pl-PL"/>
        </w:rPr>
        <w:t>uzyskał tytuł wykonawczy i skierował egzekucję do majątku osobistego zarządcy.</w:t>
      </w:r>
    </w:p>
    <w:p w:rsidR="003C6A46" w:rsidRDefault="00B94498" w:rsidP="00B94498">
      <w:pPr>
        <w:jc w:val="both"/>
        <w:rPr>
          <w:lang w:val="pl-PL"/>
        </w:rPr>
      </w:pPr>
      <w:r>
        <w:rPr>
          <w:lang w:val="pl-PL"/>
        </w:rPr>
        <w:t>Czy egzekucja jest w tym przypadku dopuszczalna?</w:t>
      </w:r>
    </w:p>
    <w:p w:rsidR="00B94498" w:rsidRDefault="00B94498" w:rsidP="00B94498">
      <w:pPr>
        <w:jc w:val="both"/>
        <w:rPr>
          <w:b/>
          <w:lang w:val="pl-PL"/>
        </w:rPr>
      </w:pPr>
      <w:r w:rsidRPr="00B94498">
        <w:rPr>
          <w:b/>
          <w:lang w:val="pl-PL"/>
        </w:rPr>
        <w:t>Kazus 2</w:t>
      </w:r>
    </w:p>
    <w:p w:rsidR="00B94498" w:rsidRDefault="00B94498" w:rsidP="00B94498">
      <w:pPr>
        <w:jc w:val="both"/>
        <w:rPr>
          <w:lang w:val="pl-PL"/>
        </w:rPr>
      </w:pPr>
      <w:r w:rsidRPr="00B94498">
        <w:rPr>
          <w:lang w:val="pl-PL"/>
        </w:rPr>
        <w:t>Wierzycielowi przysługiwało od dłużnika świadczenie niepieni</w:t>
      </w:r>
      <w:r>
        <w:rPr>
          <w:lang w:val="pl-PL"/>
        </w:rPr>
        <w:t>ężne – świadczenie usług prawni</w:t>
      </w:r>
      <w:r w:rsidR="009E38E0">
        <w:rPr>
          <w:lang w:val="pl-PL"/>
        </w:rPr>
        <w:t xml:space="preserve">czych, </w:t>
      </w:r>
      <w:r w:rsidRPr="00B94498">
        <w:rPr>
          <w:lang w:val="pl-PL"/>
        </w:rPr>
        <w:t xml:space="preserve">których wartość rynkowa to 500 zł. Jednakże w zawartej </w:t>
      </w:r>
      <w:r>
        <w:rPr>
          <w:lang w:val="pl-PL"/>
        </w:rPr>
        <w:t xml:space="preserve">umowie przewidziano, że dłużnik </w:t>
      </w:r>
      <w:r w:rsidRPr="00B94498">
        <w:rPr>
          <w:lang w:val="pl-PL"/>
        </w:rPr>
        <w:t>może zwolnić się z wykonania wskazanych usług przez zapłatę 1000</w:t>
      </w:r>
      <w:r>
        <w:rPr>
          <w:lang w:val="pl-PL"/>
        </w:rPr>
        <w:t xml:space="preserve"> zł. </w:t>
      </w:r>
    </w:p>
    <w:p w:rsidR="00B94498" w:rsidRDefault="00B94498" w:rsidP="00B94498">
      <w:pPr>
        <w:jc w:val="both"/>
        <w:rPr>
          <w:lang w:val="pl-PL"/>
        </w:rPr>
      </w:pPr>
      <w:r>
        <w:rPr>
          <w:lang w:val="pl-PL"/>
        </w:rPr>
        <w:t>Jaka kwota powinna zostać przyjęta dla ustalenia spisu wierzytelności?</w:t>
      </w:r>
    </w:p>
    <w:p w:rsidR="00B94498" w:rsidRDefault="00B94498" w:rsidP="00B94498">
      <w:pPr>
        <w:jc w:val="both"/>
        <w:rPr>
          <w:b/>
          <w:lang w:val="pl-PL"/>
        </w:rPr>
      </w:pPr>
      <w:r w:rsidRPr="00B94498">
        <w:rPr>
          <w:b/>
          <w:lang w:val="pl-PL"/>
        </w:rPr>
        <w:t>Kazus 3</w:t>
      </w:r>
    </w:p>
    <w:p w:rsidR="00AB4049" w:rsidRDefault="00B94498" w:rsidP="00B94498">
      <w:pPr>
        <w:jc w:val="both"/>
        <w:rPr>
          <w:lang w:val="pl-PL"/>
        </w:rPr>
      </w:pPr>
      <w:r w:rsidRPr="00B94498">
        <w:rPr>
          <w:lang w:val="pl-PL"/>
        </w:rPr>
        <w:t xml:space="preserve">Bank </w:t>
      </w:r>
      <w:r>
        <w:rPr>
          <w:lang w:val="pl-PL"/>
        </w:rPr>
        <w:t xml:space="preserve">XYZ </w:t>
      </w:r>
      <w:r w:rsidRPr="00B94498">
        <w:rPr>
          <w:lang w:val="pl-PL"/>
        </w:rPr>
        <w:t>SA posiada hipotekę na nieruchomości będącej własnością ABC sp. z o.o. ustanowioną na zabezpieczenie kredytu udzielonego większościowemu udziałowcowi ww. spółki.</w:t>
      </w:r>
      <w:r w:rsidR="00AB4049">
        <w:rPr>
          <w:lang w:val="pl-PL"/>
        </w:rPr>
        <w:t xml:space="preserve"> 1 lutego 2020</w:t>
      </w:r>
      <w:r w:rsidRPr="00B94498">
        <w:rPr>
          <w:lang w:val="pl-PL"/>
        </w:rPr>
        <w:t xml:space="preserve"> r. otwarto postępowanie sanacyjne wobec ABC sp. z o.o. Bank </w:t>
      </w:r>
      <w:r w:rsidR="00AB4049">
        <w:rPr>
          <w:lang w:val="pl-PL"/>
        </w:rPr>
        <w:t xml:space="preserve">XYZ </w:t>
      </w:r>
      <w:r w:rsidRPr="00B94498">
        <w:rPr>
          <w:lang w:val="pl-PL"/>
        </w:rPr>
        <w:t>SA zgłosił sprzeciw w zakresie pominięcia jego wierzytelności hipotecznej w spisie sporządzonym przez zarządcę i wnosi o jej umieszczenie w kwocie 1 mln zł plus należne odsetki. Ponadto Bank</w:t>
      </w:r>
      <w:r w:rsidR="00AB4049">
        <w:rPr>
          <w:lang w:val="pl-PL"/>
        </w:rPr>
        <w:t xml:space="preserve"> XYZ</w:t>
      </w:r>
      <w:r w:rsidRPr="00B94498">
        <w:rPr>
          <w:lang w:val="pl-PL"/>
        </w:rPr>
        <w:t xml:space="preserve"> SA zapowiedział, że nie wyrazi zgody na zawarcie układu i zagłosuje przeciwko propozycjom układowym. </w:t>
      </w:r>
    </w:p>
    <w:p w:rsidR="00B94498" w:rsidRDefault="00AB4049" w:rsidP="00AB4049">
      <w:pPr>
        <w:jc w:val="both"/>
        <w:rPr>
          <w:lang w:val="pl-PL"/>
        </w:rPr>
      </w:pPr>
      <w:r>
        <w:rPr>
          <w:lang w:val="pl-PL"/>
        </w:rPr>
        <w:t xml:space="preserve">Czy Bank XYZ SA może </w:t>
      </w:r>
      <w:r w:rsidR="00B94498" w:rsidRPr="00B94498">
        <w:rPr>
          <w:lang w:val="pl-PL"/>
        </w:rPr>
        <w:t>domagać się umieszczenia jego wierzytelno</w:t>
      </w:r>
      <w:r>
        <w:rPr>
          <w:lang w:val="pl-PL"/>
        </w:rPr>
        <w:t xml:space="preserve">ści </w:t>
      </w:r>
      <w:r w:rsidR="00B94498" w:rsidRPr="00B94498">
        <w:rPr>
          <w:lang w:val="pl-PL"/>
        </w:rPr>
        <w:t>hipot</w:t>
      </w:r>
      <w:r>
        <w:rPr>
          <w:lang w:val="pl-PL"/>
        </w:rPr>
        <w:t>ecznej w spisie wierzytelności?</w:t>
      </w:r>
    </w:p>
    <w:p w:rsidR="00300802" w:rsidRDefault="00300802" w:rsidP="00300802">
      <w:pPr>
        <w:jc w:val="both"/>
        <w:rPr>
          <w:b/>
          <w:lang w:val="pl-PL"/>
        </w:rPr>
      </w:pPr>
      <w:r w:rsidRPr="00300802">
        <w:rPr>
          <w:b/>
          <w:lang w:val="pl-PL"/>
        </w:rPr>
        <w:t>Kazus 4</w:t>
      </w:r>
    </w:p>
    <w:p w:rsidR="00300802" w:rsidRPr="00300802" w:rsidRDefault="00300802" w:rsidP="00300802">
      <w:pPr>
        <w:jc w:val="both"/>
        <w:rPr>
          <w:lang w:val="pl-PL"/>
        </w:rPr>
      </w:pPr>
      <w:r w:rsidRPr="00300802">
        <w:rPr>
          <w:lang w:val="pl-PL"/>
        </w:rPr>
        <w:t>Na zgromadzeniu wierzycieli zebrała się jedna piąta uprawnionych do głosowania wierzycie</w:t>
      </w:r>
      <w:r>
        <w:rPr>
          <w:lang w:val="pl-PL"/>
        </w:rPr>
        <w:t xml:space="preserve">li. </w:t>
      </w:r>
      <w:r w:rsidRPr="00300802">
        <w:rPr>
          <w:lang w:val="pl-PL"/>
        </w:rPr>
        <w:t>Zostało przeprowadzone głosowanie w celu przyjęcia układu, za którym opowiedziała się niewie</w:t>
      </w:r>
      <w:r>
        <w:rPr>
          <w:lang w:val="pl-PL"/>
        </w:rPr>
        <w:t xml:space="preserve">le ponad </w:t>
      </w:r>
      <w:r w:rsidRPr="00300802">
        <w:rPr>
          <w:lang w:val="pl-PL"/>
        </w:rPr>
        <w:t>połowa uprawnionych do głosowania. W ten sposób układ został przyjęty większo</w:t>
      </w:r>
      <w:r>
        <w:rPr>
          <w:lang w:val="pl-PL"/>
        </w:rPr>
        <w:t xml:space="preserve">ścią osobową </w:t>
      </w:r>
      <w:r w:rsidRPr="00300802">
        <w:rPr>
          <w:lang w:val="pl-PL"/>
        </w:rPr>
        <w:t>wynoszącą niewiele</w:t>
      </w:r>
      <w:r>
        <w:rPr>
          <w:lang w:val="pl-PL"/>
        </w:rPr>
        <w:t xml:space="preserve"> </w:t>
      </w:r>
      <w:r w:rsidRPr="00300802">
        <w:rPr>
          <w:lang w:val="pl-PL"/>
        </w:rPr>
        <w:t>ponad 10 proc. uprawnionych do głosowania.</w:t>
      </w:r>
    </w:p>
    <w:p w:rsidR="00300802" w:rsidRDefault="00300802" w:rsidP="00300802">
      <w:pPr>
        <w:jc w:val="both"/>
        <w:rPr>
          <w:lang w:val="pl-PL"/>
        </w:rPr>
      </w:pPr>
      <w:r w:rsidRPr="00300802">
        <w:rPr>
          <w:lang w:val="pl-PL"/>
        </w:rPr>
        <w:t>Czy układ został skutecznie zawarty?</w:t>
      </w:r>
    </w:p>
    <w:p w:rsidR="00FF2F66" w:rsidRDefault="00FF2F66" w:rsidP="00300802">
      <w:pPr>
        <w:jc w:val="both"/>
        <w:rPr>
          <w:b/>
          <w:lang w:val="pl-PL"/>
        </w:rPr>
      </w:pPr>
      <w:r w:rsidRPr="00FF2F66">
        <w:rPr>
          <w:b/>
          <w:lang w:val="pl-PL"/>
        </w:rPr>
        <w:t>Kazus 5</w:t>
      </w:r>
    </w:p>
    <w:p w:rsidR="00FF2F66" w:rsidRPr="00FF2F66" w:rsidRDefault="00FF2F66" w:rsidP="00FF2F66">
      <w:pPr>
        <w:jc w:val="both"/>
        <w:rPr>
          <w:lang w:val="pl-PL"/>
        </w:rPr>
      </w:pPr>
      <w:r w:rsidRPr="00FF2F66">
        <w:rPr>
          <w:lang w:val="pl-PL"/>
        </w:rPr>
        <w:t xml:space="preserve">Podczas przygotowań do przeprowadzenia zgromadzenia wierzycieli okazało się, że niezbędne jest wynajęcie sali zdolnej pomieścić wszystkich wierzycieli dłużnika. Kiedy udało się znaleźć miejsce odpowiednie do przeprowadzenia zgromadzenia, konieczne stało się pokrycie kosztów wynajęcia sali. </w:t>
      </w:r>
    </w:p>
    <w:p w:rsidR="00FF2F66" w:rsidRDefault="00FF2F66" w:rsidP="00FF2F66">
      <w:pPr>
        <w:jc w:val="both"/>
        <w:rPr>
          <w:b/>
          <w:lang w:val="pl-PL"/>
        </w:rPr>
      </w:pPr>
      <w:r w:rsidRPr="00FF2F66">
        <w:rPr>
          <w:lang w:val="pl-PL"/>
        </w:rPr>
        <w:t>Kto powinien pokryć koszty wynajmu sal</w:t>
      </w:r>
      <w:r w:rsidRPr="001D7843">
        <w:rPr>
          <w:lang w:val="pl-PL"/>
        </w:rPr>
        <w:t>i?</w:t>
      </w:r>
    </w:p>
    <w:p w:rsidR="00FF2F66" w:rsidRPr="00FF2F66" w:rsidRDefault="00FF2F66" w:rsidP="00FF2F66">
      <w:pPr>
        <w:jc w:val="both"/>
        <w:rPr>
          <w:b/>
          <w:lang w:val="pl-PL"/>
        </w:rPr>
      </w:pPr>
      <w:r>
        <w:rPr>
          <w:b/>
          <w:lang w:val="pl-PL"/>
        </w:rPr>
        <w:t xml:space="preserve"> </w:t>
      </w:r>
    </w:p>
    <w:sectPr w:rsidR="00FF2F66" w:rsidRPr="00FF2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98"/>
    <w:rsid w:val="000D4886"/>
    <w:rsid w:val="001D3F83"/>
    <w:rsid w:val="001D7843"/>
    <w:rsid w:val="00300802"/>
    <w:rsid w:val="00327E8B"/>
    <w:rsid w:val="004B3ED7"/>
    <w:rsid w:val="007012E1"/>
    <w:rsid w:val="009E38E0"/>
    <w:rsid w:val="00AB4049"/>
    <w:rsid w:val="00B94498"/>
    <w:rsid w:val="00FF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1913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Prawny/Legal Department</dc:creator>
  <cp:lastModifiedBy>Karolina Radkowska</cp:lastModifiedBy>
  <cp:revision>5</cp:revision>
  <dcterms:created xsi:type="dcterms:W3CDTF">2020-03-30T12:07:00Z</dcterms:created>
  <dcterms:modified xsi:type="dcterms:W3CDTF">2020-03-30T16:43:00Z</dcterms:modified>
</cp:coreProperties>
</file>