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6CB" w:rsidRDefault="00BD36CB" w:rsidP="00BD36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36CB">
        <w:rPr>
          <w:rFonts w:ascii="Times New Roman" w:hAnsi="Times New Roman" w:cs="Times New Roman"/>
          <w:b/>
          <w:sz w:val="32"/>
          <w:szCs w:val="32"/>
          <w:u w:val="single"/>
        </w:rPr>
        <w:t>PRZESTĘPCZOŚĆ SKARBOWA</w:t>
      </w:r>
    </w:p>
    <w:p w:rsidR="00FD4B3F" w:rsidRPr="00BD36CB" w:rsidRDefault="00BD36CB" w:rsidP="00BD36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36CB">
        <w:rPr>
          <w:rFonts w:ascii="Times New Roman" w:hAnsi="Times New Roman" w:cs="Times New Roman"/>
          <w:b/>
          <w:sz w:val="32"/>
          <w:szCs w:val="32"/>
          <w:u w:val="single"/>
        </w:rPr>
        <w:t>– zagadnienia</w:t>
      </w:r>
      <w:bookmarkStart w:id="0" w:name="_GoBack"/>
      <w:bookmarkEnd w:id="0"/>
    </w:p>
    <w:p w:rsidR="00BD36CB" w:rsidRDefault="00BD36CB" w:rsidP="00BD36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Oceny jedności i wielości przestępstw i wykroczeń skarbowych</w:t>
      </w:r>
    </w:p>
    <w:p w:rsid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Rozgraniczenie wykroczeń skarbowych i przestępstw skarbowych</w:t>
      </w:r>
    </w:p>
    <w:p w:rsid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Systematyka części szczególnej Kodeksu karnego skarbowego</w:t>
      </w:r>
    </w:p>
    <w:p w:rsid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Charakterystyka rozdziału 6 </w:t>
      </w:r>
      <w:proofErr w:type="spellStart"/>
      <w:r>
        <w:rPr>
          <w:rFonts w:ascii="Times New Roman" w:hAnsi="Times New Roman" w:cs="Times New Roman"/>
          <w:sz w:val="28"/>
          <w:szCs w:val="28"/>
        </w:rPr>
        <w:t>k.k.s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Zwalczanie zorganizowanej przestępczości podatkowej z wykorzystaniem konstrukcji idealnego zbiegu czynów karalnych</w:t>
      </w:r>
    </w:p>
    <w:p w:rsid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Charakterystyka rozdziału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k.k.s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Wybrane przestępstwa i wykroczenia celne</w:t>
      </w:r>
    </w:p>
    <w:p w:rsid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Charakterystyka rozdziału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k.k.s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Wybrane przestępstwa i wykroczenia </w:t>
      </w:r>
      <w:r>
        <w:rPr>
          <w:rFonts w:ascii="Times New Roman" w:hAnsi="Times New Roman" w:cs="Times New Roman"/>
          <w:sz w:val="28"/>
          <w:szCs w:val="28"/>
        </w:rPr>
        <w:t>dewizowe</w:t>
      </w:r>
    </w:p>
    <w:p w:rsidR="00BD36CB" w:rsidRP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6CB">
        <w:rPr>
          <w:rFonts w:ascii="Times New Roman" w:hAnsi="Times New Roman" w:cs="Times New Roman"/>
          <w:sz w:val="28"/>
          <w:szCs w:val="28"/>
        </w:rPr>
        <w:t xml:space="preserve">Charakterystyka rozdziału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6CB">
        <w:rPr>
          <w:rFonts w:ascii="Times New Roman" w:hAnsi="Times New Roman" w:cs="Times New Roman"/>
          <w:sz w:val="28"/>
          <w:szCs w:val="28"/>
        </w:rPr>
        <w:t>k.k.s</w:t>
      </w:r>
      <w:proofErr w:type="spellEnd"/>
      <w:r w:rsidRPr="00BD36CB">
        <w:rPr>
          <w:rFonts w:ascii="Times New Roman" w:hAnsi="Times New Roman" w:cs="Times New Roman"/>
          <w:sz w:val="28"/>
          <w:szCs w:val="28"/>
        </w:rPr>
        <w:t>.</w:t>
      </w:r>
    </w:p>
    <w:p w:rsid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Wybrane przestępstwa i wykroczenia </w:t>
      </w:r>
      <w:r>
        <w:rPr>
          <w:rFonts w:ascii="Times New Roman" w:hAnsi="Times New Roman" w:cs="Times New Roman"/>
          <w:sz w:val="28"/>
          <w:szCs w:val="28"/>
        </w:rPr>
        <w:t>hazardowe</w:t>
      </w:r>
    </w:p>
    <w:p w:rsidR="00BD36CB" w:rsidRPr="00BD36CB" w:rsidRDefault="00BD36CB" w:rsidP="00BD36C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Środki penalne i konsensualne w walce z przestępczością skarbową</w:t>
      </w:r>
    </w:p>
    <w:sectPr w:rsidR="00BD36CB" w:rsidRPr="00BD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D7655"/>
    <w:multiLevelType w:val="hybridMultilevel"/>
    <w:tmpl w:val="5FBC1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E4E46"/>
    <w:multiLevelType w:val="hybridMultilevel"/>
    <w:tmpl w:val="B6EC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CB"/>
    <w:rsid w:val="00AE08A8"/>
    <w:rsid w:val="00BD36CB"/>
    <w:rsid w:val="00FD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F279"/>
  <w15:chartTrackingRefBased/>
  <w15:docId w15:val="{DD2E543C-28A4-4E27-8E06-DC107C79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Sawicki</dc:creator>
  <cp:keywords/>
  <dc:description/>
  <cp:lastModifiedBy>Janusz Sawicki</cp:lastModifiedBy>
  <cp:revision>2</cp:revision>
  <dcterms:created xsi:type="dcterms:W3CDTF">2020-03-15T16:20:00Z</dcterms:created>
  <dcterms:modified xsi:type="dcterms:W3CDTF">2020-03-15T16:27:00Z</dcterms:modified>
</cp:coreProperties>
</file>