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hyperlink r:id="rId2">
        <w:r>
          <w:rPr>
            <w:rStyle w:val="Czeinternetowe"/>
            <w:rFonts w:ascii="Cambria" w:hAnsi="Cambria" w:asciiTheme="majorHAnsi" w:hAnsiTheme="majorHAnsi"/>
            <w:b/>
            <w:color w:val="auto"/>
            <w:u w:val="none"/>
          </w:rPr>
          <w:t xml:space="preserve">Polityka kryminalna </w:t>
        </w:r>
      </w:hyperlink>
    </w:p>
    <w:p>
      <w:pPr>
        <w:pStyle w:val="Normal"/>
        <w:bidi w:val="0"/>
        <w:jc w:val="center"/>
        <w:rPr>
          <w:rStyle w:val="Wrtext"/>
          <w:rFonts w:ascii="Cambria" w:hAnsi="Cambria" w:asciiTheme="majorHAnsi" w:hAnsiTheme="majorHAnsi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Wrtext"/>
          <w:rFonts w:ascii="Cambria" w:hAnsi="Cambria" w:asciiTheme="majorHAnsi" w:hAnsiTheme="majorHAnsi"/>
        </w:rPr>
        <w:t xml:space="preserve">Kierunek: Kryminologia </w:t>
      </w:r>
    </w:p>
    <w:p>
      <w:pPr>
        <w:pStyle w:val="Normal"/>
        <w:bidi w:val="0"/>
        <w:jc w:val="center"/>
        <w:rPr>
          <w:rStyle w:val="Wrtext"/>
          <w:rFonts w:ascii="Cambria" w:hAnsi="Cambria" w:asciiTheme="majorHAnsi" w:hAnsiTheme="majorHAnsi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Style w:val="Wrtext"/>
          <w:rFonts w:ascii="Cambria" w:hAnsi="Cambria" w:asciiTheme="majorHAnsi" w:hAnsiTheme="majorHAnsi"/>
        </w:rPr>
        <w:t>III rok studiów niestacjonarnych I stopnia (semestr zimowy 2019/20)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>
      <w:pPr>
        <w:pStyle w:val="Normal"/>
        <w:bidi w:val="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Zalecana literatura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1. </w:t>
      </w:r>
      <w:r>
        <w:rPr>
          <w:rFonts w:ascii="Cambria" w:hAnsi="Cambria"/>
          <w:u w:val="single"/>
        </w:rPr>
        <w:t xml:space="preserve">Literatura Podstawowa: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a) J. Błachut, A. Gaberle, K. Krajewski, Kryminologia, Gdańsk 2007,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b) B. Hołyst, Kryminologia , Warszawa Wolters Kluwer Polska 2017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>c) C. Roxin, Nowe kierunki polityki kryminalnej, Przegląd Prawa Karnego 1990, nr 4,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d) M. Melezini, Punitywność wymiaru sprawiedliwości karnej, Białystok 2003, 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e) T. Szymanowski, Polityka karna i penitencjarna Polsce w okresie przemian prawa karnego, Warszawa 2005,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f) J. Błachut, Problemy związane z pomiarem przestępczości, Wolters Kluwer 2007.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>
      <w:pPr>
        <w:pStyle w:val="Normal"/>
        <w:bidi w:val="0"/>
        <w:jc w:val="left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2. </w:t>
      </w:r>
      <w:r>
        <w:rPr>
          <w:rFonts w:ascii="Cambria" w:hAnsi="Cambria"/>
          <w:u w:val="single"/>
        </w:rPr>
        <w:t xml:space="preserve">Literatura Uzupełniająca: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a) Mit represyjności albo o znaczeniu prewencji kryminalnej, red. J.Czapska, H.Kury, Zakamycze 2002,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b) T. Kalisz, Kilka uwag o polityce kryminalnej. Statystyka w kryminalna  w wybranych krajach, [w:]Nowa kodyfikacja prawa karnego, red. L.Bogunia, tom XVI, Wrocław 2004, 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>c) T. Kalisz, Cele tymczasowego aresztowania a powszechność jego stosowania w praktyce sądów polskich / Nowa Kodyfikacja Prawa Karnego. - T. 28 (2012), s. [111]-126,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>d) T. Kalisz, Czy w Polsce zbyt często sięga się po tymczasowe aresztowanie?, Prokuratura i Prawo. - 2013, nr 4, s. 5-16,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</w:rPr>
        <w:t xml:space="preserve">e) Rzeplińska I., Wiktorska P., Kontrolowanie przestępczości [w:] Społeczno – polityczne konteksty współczesnej przestępczości w Polsce, wyd. SEDNO, Warszawa 2013.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Wrtext">
    <w:name w:val="wrtext"/>
    <w:basedOn w:val="DefaultParagraph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osweb.uni.wroc.pl/kontroler.php?_action=katalog2/przedmioty/pokazPrzedmiot&amp;kod=23-AD-S2-S1-APSKW-P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LibreOffice/6.3.2.2$Windows_X86_64 LibreOffice_project/98b30e735bda24bc04ab42594c85f7fd8be07b9c</Application>
  <Pages>1</Pages>
  <Words>192</Words>
  <Characters>1195</Characters>
  <CharactersWithSpaces>1389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2019-12-30T18:17:31Z</dcterms:created>
  <dc:creator/>
  <dc:description/>
  <dc:language>pl-PL</dc:language>
  <cp:lastModifiedBy/>
  <dcterms:modified xsi:type="dcterms:W3CDTF">2019-12-30T18:22:09Z</dcterms:modified>
  <cp:revision>2</cp:revision>
  <dc:subject/>
  <dc:title/>
</cp:coreProperties>
</file>