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hyperlink r:id="rId2">
        <w:r>
          <w:rPr>
            <w:rStyle w:val="Czeinternetowe"/>
            <w:rFonts w:eastAsia="Calibri" w:cs="" w:ascii="Cambria" w:hAnsi="Cambria" w:asciiTheme="majorHAnsi" w:hAnsiTheme="majorHAnsi"/>
            <w:b/>
            <w:color w:val="auto"/>
            <w:kern w:val="0"/>
            <w:sz w:val="22"/>
            <w:szCs w:val="22"/>
            <w:u w:val="single"/>
            <w:lang w:val="pl-PL" w:eastAsia="en-US" w:bidi="ar-SA"/>
          </w:rPr>
          <w:t>P</w:t>
        </w:r>
      </w:hyperlink>
      <w:r>
        <w:rPr>
          <w:rStyle w:val="Czeinternetowe"/>
          <w:rFonts w:eastAsia="Calibri" w:cs="" w:ascii="Cambria" w:hAnsi="Cambria" w:asciiTheme="majorHAnsi" w:hAnsiTheme="majorHAnsi"/>
          <w:b/>
          <w:color w:val="auto"/>
          <w:kern w:val="0"/>
          <w:sz w:val="22"/>
          <w:szCs w:val="22"/>
          <w:u w:val="single"/>
          <w:lang w:val="pl-PL" w:eastAsia="en-US" w:bidi="ar-SA"/>
        </w:rPr>
        <w:t>robacja i system dozoru elektronicznego – warsztaty ze stosowania prawa</w:t>
      </w:r>
    </w:p>
    <w:p>
      <w:pPr>
        <w:pStyle w:val="Normal"/>
        <w:spacing w:lineRule="auto" w:line="360"/>
        <w:jc w:val="center"/>
        <w:rPr/>
      </w:pPr>
      <w:r>
        <w:rPr>
          <w:rStyle w:val="Wrtext"/>
          <w:rFonts w:ascii="Cambria" w:hAnsi="Cambria" w:asciiTheme="majorHAnsi" w:hAnsiTheme="majorHAnsi"/>
        </w:rPr>
        <w:t xml:space="preserve">Kierunek: </w:t>
      </w:r>
      <w:r>
        <w:rPr>
          <w:rStyle w:val="Wrtext"/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>Administracja</w:t>
      </w:r>
    </w:p>
    <w:p>
      <w:pPr>
        <w:pStyle w:val="Normal"/>
        <w:spacing w:lineRule="auto" w:line="360"/>
        <w:jc w:val="center"/>
        <w:rPr/>
      </w:pPr>
      <w:r>
        <w:rPr>
          <w:rStyle w:val="Wrtext"/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>Studia stacjonarne</w:t>
      </w:r>
      <w:r>
        <w:rPr>
          <w:rStyle w:val="Wrtext"/>
          <w:rFonts w:ascii="Cambria" w:hAnsi="Cambria" w:asciiTheme="majorHAnsi" w:hAnsiTheme="majorHAnsi"/>
        </w:rPr>
        <w:t xml:space="preserve"> II stopnia (semestr letni 2019/20)</w:t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I. Charakterystyka zajęć:</w:t>
      </w:r>
    </w:p>
    <w:p>
      <w:pPr>
        <w:pStyle w:val="Normal"/>
        <w:spacing w:lineRule="auto" w:line="360"/>
        <w:jc w:val="both"/>
        <w:rPr/>
      </w:pPr>
      <w:r>
        <w:rPr>
          <w:rFonts w:ascii="Cambria" w:hAnsi="Cambria" w:asciiTheme="majorHAnsi" w:hAnsiTheme="majorHAnsi"/>
          <w:b/>
          <w:bCs/>
        </w:rPr>
        <w:t xml:space="preserve">* 10 </w:t>
      </w:r>
      <w:r>
        <w:rPr>
          <w:rFonts w:ascii="Cambria" w:hAnsi="Cambria" w:asciiTheme="majorHAnsi" w:hAnsiTheme="majorHAnsi"/>
          <w:b/>
        </w:rPr>
        <w:t>godzin</w:t>
      </w:r>
      <w:r>
        <w:rPr>
          <w:rFonts w:ascii="Cambria" w:hAnsi="Cambria" w:asciiTheme="majorHAnsi" w:hAnsiTheme="majorHAnsi"/>
        </w:rPr>
        <w:t xml:space="preserve"> (5 spotkań po 2 h zajęciowe)</w:t>
      </w:r>
    </w:p>
    <w:p>
      <w:pPr>
        <w:pStyle w:val="Normal"/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b/>
          <w:bCs/>
          <w:color w:val="auto"/>
          <w:kern w:val="0"/>
          <w:sz w:val="22"/>
          <w:szCs w:val="22"/>
          <w:lang w:val="pl-PL" w:eastAsia="en-US" w:bidi="ar-SA"/>
        </w:rPr>
        <w:t>1)</w:t>
      </w:r>
      <w:r>
        <w:rPr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Calibri" w:cs="" w:ascii="Cambria" w:hAnsi="Cambria" w:asciiTheme="majorHAnsi" w:hAnsiTheme="majorHAnsi"/>
          <w:b/>
          <w:bCs/>
          <w:color w:val="auto"/>
          <w:kern w:val="0"/>
          <w:sz w:val="22"/>
          <w:szCs w:val="22"/>
          <w:lang w:val="pl-PL" w:eastAsia="en-US" w:bidi="ar-SA"/>
        </w:rPr>
        <w:t>10 marca</w:t>
      </w:r>
      <w:r>
        <w:rPr>
          <w:rFonts w:ascii="Cambria" w:hAnsi="Cambria" w:asciiTheme="majorHAnsi" w:hAnsiTheme="majorHAnsi"/>
          <w:b/>
          <w:bCs/>
        </w:rPr>
        <w:t xml:space="preserve"> 2020 r. </w:t>
      </w:r>
      <w:r>
        <w:rPr>
          <w:rFonts w:ascii="Cambria" w:hAnsi="Cambria" w:asciiTheme="majorHAnsi" w:hAnsiTheme="majorHAnsi"/>
          <w:i/>
        </w:rPr>
        <w:t xml:space="preserve">(wprowadzenie do tematyki zajęć; zapoznanie z podstawowymi definicjami – </w:t>
      </w:r>
      <w:r>
        <w:rPr>
          <w:rFonts w:ascii="Cambria" w:hAnsi="Cambria" w:asciiTheme="majorHAnsi" w:hAnsiTheme="majorHAnsi"/>
          <w:i/>
        </w:rPr>
        <w:t>pojęcie, geneza, charakter prawny probacji; warunkowe umorzenie postępowania</w:t>
      </w:r>
      <w:r>
        <w:rPr>
          <w:rFonts w:ascii="Cambria" w:hAnsi="Cambria" w:asciiTheme="majorHAnsi" w:hAnsiTheme="majorHAnsi"/>
          <w:i/>
        </w:rPr>
        <w:t>),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Calibri" w:cs="" w:ascii="Cambria" w:hAnsi="Cambria" w:asciiTheme="majorHAnsi" w:hAnsiTheme="majorHAnsi"/>
          <w:b/>
          <w:bCs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>2)</w:t>
      </w:r>
      <w:r>
        <w:rPr>
          <w:rFonts w:eastAsia="Calibri" w:cs="" w:ascii="Cambria" w:hAnsi="Cambria" w:asciiTheme="majorHAnsi" w:hAnsiTheme="majorHAnsi"/>
          <w:b/>
          <w:bCs/>
          <w:i/>
          <w:iCs w:val="false"/>
          <w:color w:val="auto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Calibri" w:cs="" w:ascii="Cambria" w:hAnsi="Cambria" w:asciiTheme="majorHAnsi" w:hAnsiTheme="majorHAnsi"/>
          <w:b/>
          <w:bCs/>
          <w:i w:val="false"/>
          <w:iCs w:val="false"/>
          <w:color w:val="auto"/>
          <w:kern w:val="0"/>
          <w:sz w:val="22"/>
          <w:szCs w:val="22"/>
          <w:lang w:val="pl-PL" w:eastAsia="en-US" w:bidi="ar-SA"/>
        </w:rPr>
        <w:t>24 marca 2020</w:t>
      </w:r>
      <w:r>
        <w:rPr>
          <w:rFonts w:ascii="Cambria" w:hAnsi="Cambria" w:asciiTheme="majorHAnsi" w:hAnsiTheme="majorHAnsi"/>
          <w:b/>
          <w:bCs/>
          <w:i w:val="false"/>
          <w:iCs w:val="false"/>
        </w:rPr>
        <w:t xml:space="preserve"> r. </w:t>
      </w:r>
      <w:r>
        <w:rPr>
          <w:rFonts w:ascii="Cambria" w:hAnsi="Cambria" w:asciiTheme="majorHAnsi" w:hAnsiTheme="majorHAnsi"/>
          <w:i/>
        </w:rPr>
        <w:t xml:space="preserve">(omawianie zagadnień związanych z </w:t>
      </w: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warunkowym zawieszeniem wykonania kary pozbawienia wolności</w:t>
      </w:r>
      <w:r>
        <w:rPr>
          <w:rFonts w:ascii="Cambria" w:hAnsi="Cambria" w:asciiTheme="majorHAnsi" w:hAnsiTheme="majorHAnsi"/>
          <w:i/>
        </w:rPr>
        <w:t>)</w:t>
      </w:r>
    </w:p>
    <w:p>
      <w:pPr>
        <w:pStyle w:val="Normal"/>
        <w:spacing w:lineRule="auto" w:line="360"/>
        <w:jc w:val="both"/>
        <w:rPr/>
      </w:pPr>
      <w:r>
        <w:rPr>
          <w:rFonts w:eastAsia="Calibri" w:cs="" w:ascii="Cambria" w:hAnsi="Cambria" w:asciiTheme="majorHAnsi" w:hAnsiTheme="majorHAnsi"/>
          <w:b/>
          <w:bCs/>
          <w:color w:val="auto"/>
          <w:kern w:val="0"/>
          <w:sz w:val="22"/>
          <w:szCs w:val="22"/>
          <w:lang w:val="pl-PL" w:eastAsia="en-US" w:bidi="ar-SA"/>
        </w:rPr>
        <w:t>3) 7 kwietnia</w:t>
      </w:r>
      <w:r>
        <w:rPr>
          <w:rFonts w:ascii="Cambria" w:hAnsi="Cambria" w:asciiTheme="majorHAnsi" w:hAnsiTheme="majorHAnsi"/>
          <w:b/>
          <w:bCs/>
        </w:rPr>
        <w:t xml:space="preserve"> 2020 r. </w:t>
      </w:r>
      <w:r>
        <w:rPr>
          <w:rFonts w:ascii="Cambria" w:hAnsi="Cambria" w:asciiTheme="majorHAnsi" w:hAnsiTheme="majorHAnsi"/>
          <w:i/>
        </w:rPr>
        <w:t>(</w:t>
      </w:r>
      <w:r>
        <w:rPr>
          <w:rFonts w:ascii="Cambria" w:hAnsi="Cambria" w:asciiTheme="majorHAnsi" w:hAnsiTheme="majorHAnsi"/>
          <w:i/>
        </w:rPr>
        <w:t>omawianie zagadnień związanych z w</w:t>
      </w:r>
      <w:r>
        <w:rPr>
          <w:rFonts w:ascii="Cambria" w:hAnsi="Cambria" w:asciiTheme="majorHAnsi" w:hAnsiTheme="majorHAnsi"/>
          <w:i/>
        </w:rPr>
        <w:t>arunkow</w:t>
      </w:r>
      <w:r>
        <w:rPr>
          <w:rFonts w:ascii="Cambria" w:hAnsi="Cambria" w:asciiTheme="majorHAnsi" w:hAnsiTheme="majorHAnsi"/>
          <w:i/>
        </w:rPr>
        <w:t>ym</w:t>
      </w:r>
      <w:r>
        <w:rPr>
          <w:rFonts w:ascii="Cambria" w:hAnsi="Cambria" w:asciiTheme="majorHAnsi" w:hAnsiTheme="majorHAnsi"/>
          <w:i/>
        </w:rPr>
        <w:t xml:space="preserve"> przedterminow</w:t>
      </w:r>
      <w:r>
        <w:rPr>
          <w:rFonts w:ascii="Cambria" w:hAnsi="Cambria" w:asciiTheme="majorHAnsi" w:hAnsiTheme="majorHAnsi"/>
          <w:i/>
        </w:rPr>
        <w:t>ym</w:t>
      </w:r>
      <w:r>
        <w:rPr>
          <w:rFonts w:ascii="Cambria" w:hAnsi="Cambria" w:asciiTheme="majorHAnsi" w:hAnsiTheme="majorHAnsi"/>
          <w:i/>
        </w:rPr>
        <w:t xml:space="preserve"> zwolnienie</w:t>
      </w:r>
      <w:r>
        <w:rPr>
          <w:rFonts w:ascii="Cambria" w:hAnsi="Cambria" w:asciiTheme="majorHAnsi" w:hAnsiTheme="majorHAnsi"/>
          <w:i/>
        </w:rPr>
        <w:t>m</w:t>
      </w:r>
      <w:r>
        <w:rPr>
          <w:rFonts w:ascii="Cambria" w:hAnsi="Cambria" w:asciiTheme="majorHAnsi" w:hAnsiTheme="majorHAnsi"/>
          <w:i/>
        </w:rPr>
        <w:t xml:space="preserve"> z reszty kary pozbawienia wolności</w:t>
      </w:r>
      <w:r>
        <w:rPr>
          <w:rFonts w:eastAsia="Times New Roman" w:cs="Arial" w:ascii="Cambria" w:hAnsi="Cambria" w:asciiTheme="majorHAnsi" w:hAnsiTheme="majorHAnsi"/>
          <w:i/>
          <w:lang w:eastAsia="pl-PL"/>
        </w:rPr>
        <w:t>);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Calibri" w:cs="" w:ascii="Cambria" w:hAnsi="Cambria" w:asciiTheme="majorHAnsi" w:hAnsiTheme="majorHAnsi"/>
          <w:b/>
          <w:bCs/>
          <w:color w:val="auto"/>
          <w:kern w:val="0"/>
          <w:sz w:val="22"/>
          <w:szCs w:val="22"/>
          <w:lang w:val="pl-PL" w:eastAsia="en-US" w:bidi="ar-SA"/>
        </w:rPr>
        <w:t>4) 21 kwietnia 2020</w:t>
      </w:r>
      <w:r>
        <w:rPr>
          <w:rFonts w:ascii="Cambria" w:hAnsi="Cambria" w:asciiTheme="majorHAnsi" w:hAnsiTheme="majorHAnsi"/>
          <w:b/>
          <w:bCs/>
        </w:rPr>
        <w:t xml:space="preserve"> r. </w:t>
      </w:r>
      <w:r>
        <w:rPr>
          <w:rFonts w:ascii="Cambria" w:hAnsi="Cambria" w:asciiTheme="majorHAnsi" w:hAnsiTheme="majorHAnsi"/>
          <w:i/>
        </w:rPr>
        <w:t>(</w:t>
      </w:r>
      <w:r>
        <w:rPr>
          <w:rFonts w:eastAsia="Calibri" w:cs="" w:ascii="Cambria" w:hAnsi="Cambria" w:asciiTheme="majorHAnsi" w:hAnsiTheme="majorHAnsi"/>
          <w:i/>
          <w:color w:val="auto"/>
          <w:kern w:val="0"/>
          <w:sz w:val="22"/>
          <w:szCs w:val="22"/>
          <w:lang w:val="pl-PL" w:eastAsia="en-US" w:bidi="ar-SA"/>
        </w:rPr>
        <w:t>omawianie zagadnień związanych z dozorem elektronicznym</w:t>
      </w:r>
      <w:r>
        <w:rPr>
          <w:rFonts w:ascii="Cambria" w:hAnsi="Cambria" w:asciiTheme="majorHAnsi" w:hAnsiTheme="majorHAnsi"/>
          <w:i/>
        </w:rPr>
        <w:t>)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ascii="Cambria" w:hAnsi="Cambria" w:asciiTheme="majorHAnsi" w:hAnsiTheme="majorHAnsi"/>
          <w:b/>
          <w:bCs/>
          <w:i w:val="false"/>
          <w:iCs w:val="false"/>
        </w:rPr>
        <w:t>5) 5 maja 2020 r.</w:t>
      </w:r>
      <w:r>
        <w:rPr>
          <w:rFonts w:ascii="Cambria" w:hAnsi="Cambria" w:asciiTheme="majorHAnsi" w:hAnsiTheme="majorHAnsi"/>
          <w:i w:val="false"/>
          <w:iCs w:val="false"/>
        </w:rPr>
        <w:t xml:space="preserve"> </w:t>
      </w:r>
      <w:r>
        <w:rPr>
          <w:rFonts w:ascii="Cambria" w:hAnsi="Cambria" w:asciiTheme="majorHAnsi" w:hAnsiTheme="majorHAnsi"/>
          <w:i/>
          <w:iCs/>
        </w:rPr>
        <w:t>(podsumowanie zajęć; kolokwium zaliczeniowe – test; wystawienie ocen końcowych z przedmiotu)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Cambria" w:hAnsi="Cambria" w:asciiTheme="majorHAnsi" w:hAnsiTheme="majorHAnsi"/>
          <w:i w:val="false"/>
          <w:i w:val="false"/>
          <w:iCs w:val="false"/>
        </w:rPr>
      </w:pPr>
      <w:r>
        <w:rPr>
          <w:rFonts w:asciiTheme="majorHAnsi" w:hAnsiTheme="majorHAnsi" w:ascii="Cambria" w:hAnsi="Cambria"/>
          <w:i w:val="false"/>
          <w:iCs w:val="false"/>
        </w:rPr>
      </w:r>
    </w:p>
    <w:p>
      <w:pPr>
        <w:pStyle w:val="Normal"/>
        <w:spacing w:lineRule="auto" w:line="360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II. Zaliczenie zajęć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- zaliczenie na ocenę</w:t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</w:rPr>
        <w:t>- praca w grupach na zajęciach/</w:t>
      </w:r>
      <w:r>
        <w:rPr>
          <w:rFonts w:ascii="Cambria" w:hAnsi="Cambria" w:asciiTheme="majorHAnsi" w:hAnsiTheme="majorHAnsi"/>
          <w:highlight w:val="red"/>
        </w:rPr>
        <w:t xml:space="preserve">praca w domu </w:t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</w:rPr>
        <w:t>-  test (max. 20 pytań</w:t>
      </w:r>
      <w:r>
        <w:rPr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>)</w:t>
      </w:r>
    </w:p>
    <w:p>
      <w:pPr>
        <w:pStyle w:val="Normal"/>
        <w:jc w:val="both"/>
        <w:rPr/>
      </w:pPr>
      <w:r>
        <w:rPr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>* Ocena końcowa to średnia arytmetyczna oceny z testu oraz ocen z prac pisemnych.</w:t>
      </w:r>
    </w:p>
    <w:p>
      <w:pPr>
        <w:pStyle w:val="Normal"/>
        <w:jc w:val="both"/>
        <w:rPr/>
      </w:pPr>
      <w:r>
        <w:rPr>
          <w:rFonts w:eastAsia="Calibri" w:cs="" w:ascii="Cambria" w:hAnsi="Cambria" w:asciiTheme="majorHAnsi" w:hAnsiTheme="majorHAnsi"/>
          <w:color w:val="auto"/>
          <w:kern w:val="0"/>
          <w:sz w:val="22"/>
          <w:szCs w:val="22"/>
          <w:lang w:val="pl-PL" w:eastAsia="en-US" w:bidi="ar-SA"/>
        </w:rPr>
        <w:t>* W przypadku zajęć stacjonarnych punktowana będzie merytoryczna aktywność studenta na zajęciach, która wpłynie na odpowiednie podwyższenie oceny końcowej.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u w:val="single"/>
        </w:rPr>
        <w:t>III.</w:t>
      </w:r>
      <w:r>
        <w:rPr>
          <w:rFonts w:ascii="Cambria" w:hAnsi="Cambria" w:asciiTheme="majorHAnsi" w:hAnsiTheme="majorHAnsi"/>
          <w:u w:val="single"/>
        </w:rPr>
        <w:t xml:space="preserve"> </w:t>
      </w:r>
      <w:r>
        <w:rPr>
          <w:rFonts w:ascii="Cambria" w:hAnsi="Cambria" w:asciiTheme="majorHAnsi" w:hAnsiTheme="majorHAnsi"/>
          <w:b/>
          <w:u w:val="single"/>
        </w:rPr>
        <w:t>Konsultacje</w:t>
      </w:r>
      <w:r>
        <w:rPr>
          <w:rFonts w:ascii="Cambria" w:hAnsi="Cambria" w:asciiTheme="majorHAnsi" w:hAnsiTheme="majorHAnsi"/>
          <w:b/>
        </w:rPr>
        <w:t xml:space="preserve"> </w:t>
      </w:r>
    </w:p>
    <w:p>
      <w:pPr>
        <w:pStyle w:val="Normal"/>
        <w:jc w:val="both"/>
        <w:rPr/>
      </w:pPr>
      <w:r>
        <w:rPr>
          <w:rFonts w:ascii="Cambria" w:hAnsi="Cambria" w:asciiTheme="majorHAnsi" w:hAnsiTheme="majorHAnsi"/>
        </w:rPr>
        <w:t>- wskazane na stronie internetowej Wydziału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IV. Kontakt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- za pośrednictwem poczty elektronicznej (adres wskazany na stronie internetowej) lub na konsultacjach (harmonogram wskazany na stronie)</w:t>
      </w:r>
    </w:p>
    <w:p>
      <w:pPr>
        <w:pStyle w:val="Normal"/>
        <w:jc w:val="both"/>
        <w:rPr>
          <w:rFonts w:ascii="Cambria" w:hAnsi="Cambria" w:asciiTheme="majorHAnsi" w:hAnsiTheme="majorHAnsi"/>
          <w:b/>
          <w:b/>
          <w:u w:val="single"/>
        </w:rPr>
      </w:pPr>
      <w:r>
        <w:rPr>
          <w:rFonts w:ascii="Cambria" w:hAnsi="Cambria" w:asciiTheme="majorHAnsi" w:hAnsiTheme="majorHAnsi"/>
          <w:b/>
          <w:u w:val="single"/>
        </w:rPr>
        <w:t>V. Obecność na zajęciach</w:t>
      </w:r>
    </w:p>
    <w:p>
      <w:pPr>
        <w:pStyle w:val="Default"/>
        <w:spacing w:lineRule="auto" w:line="276"/>
        <w:jc w:val="both"/>
        <w:rPr/>
      </w:pPr>
      <w:r>
        <w:rPr>
          <w:rFonts w:ascii="Cambria" w:hAnsi="Cambria" w:asciiTheme="majorHAnsi" w:hAnsiTheme="majorHAnsi"/>
          <w:sz w:val="22"/>
          <w:szCs w:val="22"/>
          <w:highlight w:val="red"/>
        </w:rPr>
        <w:t>1) Zarządzenie nr 29/2020 Rektora Uniwersytetu Wrocławskiego z dnia 11 marca 2020 r. (</w:t>
      </w:r>
      <w:hyperlink r:id="rId3" w:tgtFrame="_blank">
        <w:r>
          <w:rPr>
            <w:rStyle w:val="Czeinternetowe"/>
            <w:rFonts w:ascii="quot" w:hAnsi="quot"/>
            <w:color w:val="0B5F8B"/>
            <w:sz w:val="22"/>
            <w:szCs w:val="22"/>
            <w:highlight w:val="red"/>
            <w:u w:val="none"/>
          </w:rPr>
          <w:t>ZARZĄDZENIE REKTORA W SPRAWIE PRZECIWDZIAŁANIA ROZPRZESTRZENIANIU SIĘ COVID-19 WŚRÓD CZŁONKÓW SPOŁECZNOŚCI UWR</w:t>
        </w:r>
      </w:hyperlink>
      <w:r>
        <w:rPr>
          <w:rFonts w:ascii="quot" w:hAnsi="quot"/>
          <w:color w:val="0B5F8B"/>
          <w:sz w:val="22"/>
          <w:szCs w:val="22"/>
          <w:highlight w:val="red"/>
          <w:u w:val="none"/>
        </w:rPr>
        <w:t>)</w:t>
      </w:r>
    </w:p>
    <w:p>
      <w:pPr>
        <w:pStyle w:val="Default"/>
        <w:spacing w:lineRule="auto" w:line="276"/>
        <w:jc w:val="both"/>
        <w:rPr>
          <w:i/>
          <w:i/>
          <w:iCs/>
        </w:rPr>
      </w:pPr>
      <w:r>
        <w:rPr>
          <w:rFonts w:ascii="Cambria" w:hAnsi="Cambria" w:asciiTheme="majorHAnsi" w:hAnsiTheme="majorHAnsi"/>
          <w:i/>
          <w:iCs/>
          <w:sz w:val="22"/>
          <w:szCs w:val="22"/>
        </w:rPr>
        <w:t xml:space="preserve">2) </w:t>
      </w:r>
      <w:r>
        <w:rPr>
          <w:rFonts w:ascii="Cambria" w:hAnsi="Cambria" w:asciiTheme="majorHAnsi" w:hAnsiTheme="majorHAnsi"/>
          <w:bCs/>
          <w:i/>
          <w:iCs/>
          <w:sz w:val="22"/>
          <w:szCs w:val="22"/>
        </w:rPr>
        <w:t>Zarządzenie nr 18/2017 Dziekana Wydziału Prawa, Administracji i Ekonomii Uniwersytetu Wrocławskiego z dnia 27 lipca 2017 r. w sprawie monitorowania obecności na zajęciach na Wydziale Prawa, Administracji i Ekonomii UWr</w:t>
      </w:r>
    </w:p>
    <w:p>
      <w:pPr>
        <w:pStyle w:val="Default"/>
        <w:spacing w:lineRule="auto" w:line="276"/>
        <w:jc w:val="both"/>
        <w:rPr>
          <w:i/>
          <w:i/>
          <w:iCs/>
        </w:rPr>
      </w:pPr>
      <w:r>
        <w:rPr>
          <w:rFonts w:ascii="Cambria" w:hAnsi="Cambria" w:asciiTheme="majorHAnsi" w:hAnsiTheme="majorHAnsi"/>
          <w:bCs/>
          <w:i/>
          <w:iCs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i/>
          <w:iCs/>
          <w:sz w:val="22"/>
          <w:szCs w:val="22"/>
        </w:rPr>
        <w:t>obowiązkowa – po przywróceniu zajęć stacjonarnych,</w:t>
      </w:r>
    </w:p>
    <w:p>
      <w:pPr>
        <w:pStyle w:val="Default"/>
        <w:spacing w:lineRule="auto" w:line="276"/>
        <w:jc w:val="both"/>
        <w:rPr/>
      </w:pPr>
      <w:r>
        <w:rPr>
          <w:rFonts w:ascii="Cambria" w:hAnsi="Cambria" w:asciiTheme="majorHAnsi" w:hAnsiTheme="majorHAnsi"/>
          <w:i/>
          <w:iCs/>
          <w:sz w:val="22"/>
          <w:szCs w:val="22"/>
        </w:rPr>
        <w:t>- nieobecności usprawiedliwione należy zaliczyć na konsultacjach (dot. zajęć po przywróceniu zajęć stacjonarnych)</w:t>
      </w:r>
    </w:p>
    <w:p>
      <w:pPr>
        <w:pStyle w:val="Default"/>
        <w:spacing w:lineRule="auto" w:line="276"/>
        <w:jc w:val="both"/>
        <w:rPr>
          <w:rFonts w:ascii="Cambria" w:hAnsi="Cambria" w:asciiTheme="majorHAnsi" w:hAnsiTheme="majorHAnsi"/>
          <w:i/>
          <w:i/>
          <w:iCs/>
          <w:sz w:val="22"/>
          <w:szCs w:val="22"/>
        </w:rPr>
      </w:pPr>
      <w:r>
        <w:rPr/>
      </w:r>
    </w:p>
    <w:p>
      <w:pPr>
        <w:pStyle w:val="Default"/>
        <w:spacing w:lineRule="auto" w:line="276"/>
        <w:jc w:val="both"/>
        <w:rPr>
          <w:b/>
          <w:b/>
          <w:bCs/>
          <w:i w:val="false"/>
          <w:i w:val="false"/>
          <w:iCs w:val="false"/>
          <w:u w:val="single"/>
        </w:rPr>
      </w:pPr>
      <w:r>
        <w:rPr>
          <w:rFonts w:ascii="Cambria" w:hAnsi="Cambria" w:asciiTheme="majorHAnsi" w:hAnsiTheme="majorHAnsi"/>
          <w:b/>
          <w:bCs/>
          <w:i w:val="false"/>
          <w:iCs w:val="false"/>
          <w:sz w:val="22"/>
          <w:szCs w:val="22"/>
          <w:u w:val="single"/>
        </w:rPr>
        <w:t>VI. Literatura</w:t>
      </w:r>
    </w:p>
    <w:p>
      <w:pPr>
        <w:pStyle w:val="Default"/>
        <w:spacing w:lineRule="auto" w:line="276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i w:val="false"/>
          <w:iCs w:val="false"/>
        </w:rPr>
      </w:r>
    </w:p>
    <w:p>
      <w:pPr>
        <w:pStyle w:val="Default"/>
        <w:spacing w:lineRule="auto" w:line="276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b/>
          <w:bCs/>
          <w:i w:val="false"/>
          <w:iCs w:val="false"/>
          <w:sz w:val="22"/>
          <w:szCs w:val="22"/>
        </w:rPr>
        <w:t xml:space="preserve">a) Literatura podstawowa: </w:t>
      </w:r>
    </w:p>
    <w:p>
      <w:pPr>
        <w:pStyle w:val="Default"/>
        <w:spacing w:lineRule="auto" w:line="276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i/>
          <w:iCs/>
          <w:sz w:val="22"/>
          <w:szCs w:val="22"/>
        </w:rPr>
        <w:t>Przestępca na uwięzi. Elektroniczny monitoring sprawców przestępstw</w:t>
      </w: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, P.Moczydłowski, . Warszawa 2006 </w:t>
      </w:r>
    </w:p>
    <w:p>
      <w:pPr>
        <w:pStyle w:val="Default"/>
        <w:spacing w:lineRule="auto" w:line="276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i/>
          <w:iCs/>
          <w:sz w:val="22"/>
          <w:szCs w:val="22"/>
          <w:u w:val="none"/>
        </w:rPr>
        <w:t>Warunkowe zwolnienie z reszty kary pozbawienia wolności</w:t>
      </w: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, J. Lachowski, . Warszawa 2010 </w:t>
      </w:r>
    </w:p>
    <w:p>
      <w:pPr>
        <w:pStyle w:val="Default"/>
        <w:spacing w:lineRule="auto" w:line="276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i/>
          <w:iCs/>
          <w:sz w:val="22"/>
          <w:szCs w:val="22"/>
        </w:rPr>
        <w:t>Prawo karne materialne. Część ogólna i szczególna</w:t>
      </w: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, M.Bojarski, J.Giezek, Z.Sienkiewicz, . Warszawa  2012 </w:t>
      </w:r>
    </w:p>
    <w:p>
      <w:pPr>
        <w:pStyle w:val="Default"/>
        <w:spacing w:lineRule="auto" w:line="276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 </w:t>
      </w:r>
    </w:p>
    <w:p>
      <w:pPr>
        <w:pStyle w:val="Default"/>
        <w:spacing w:lineRule="auto" w:line="276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b/>
          <w:bCs/>
          <w:i w:val="false"/>
          <w:iCs w:val="false"/>
          <w:sz w:val="22"/>
          <w:szCs w:val="22"/>
        </w:rPr>
        <w:t>b) Literatura uzupełniająca:</w:t>
      </w:r>
    </w:p>
    <w:p>
      <w:pPr>
        <w:pStyle w:val="Default"/>
        <w:spacing w:lineRule="auto" w:line="276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i/>
          <w:iCs/>
          <w:sz w:val="22"/>
          <w:szCs w:val="22"/>
        </w:rPr>
        <w:t>Probacja w systemie prawa karnego wykonawczego</w:t>
      </w: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>, red. L. Bogunia, . Wrocław  1999</w:t>
      </w:r>
    </w:p>
    <w:p>
      <w:pPr>
        <w:pStyle w:val="Default"/>
        <w:spacing w:lineRule="auto" w:line="276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i/>
          <w:iCs/>
          <w:sz w:val="22"/>
          <w:szCs w:val="22"/>
        </w:rPr>
        <w:t>Probacja. Resocjalizacja z udziałem społeczeństwa</w:t>
      </w: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>, 2.wydanie, A.Bałandynowicz,, Warszawa 2011</w:t>
      </w:r>
    </w:p>
    <w:p>
      <w:pPr>
        <w:pStyle w:val="Default"/>
        <w:spacing w:lineRule="auto" w:line="276"/>
        <w:jc w:val="both"/>
        <w:rPr>
          <w:i w:val="false"/>
          <w:i w:val="false"/>
          <w:iCs w:val="false"/>
        </w:rPr>
      </w:pP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- </w:t>
      </w:r>
      <w:r>
        <w:rPr>
          <w:rFonts w:ascii="Cambria" w:hAnsi="Cambria" w:asciiTheme="majorHAnsi" w:hAnsiTheme="majorHAnsi"/>
          <w:i/>
          <w:iCs/>
          <w:sz w:val="22"/>
          <w:szCs w:val="22"/>
        </w:rPr>
        <w:t>Warunkowe zawieszenie wykonania kary w systemie środków probacyjnych i jego efektywność</w:t>
      </w:r>
      <w:r>
        <w:rPr>
          <w:rFonts w:ascii="Cambria" w:hAnsi="Cambria" w:asciiTheme="majorHAnsi" w:hAnsiTheme="majorHAnsi"/>
          <w:i w:val="false"/>
          <w:iCs w:val="false"/>
          <w:sz w:val="22"/>
          <w:szCs w:val="22"/>
        </w:rPr>
        <w:t xml:space="preserve">, A.Kordik, . Wrocław  1998 </w:t>
      </w:r>
    </w:p>
    <w:p>
      <w:pPr>
        <w:pStyle w:val="Default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quo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498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c4981"/>
    <w:rPr>
      <w:color w:val="0000FF"/>
      <w:u w:val="single"/>
    </w:rPr>
  </w:style>
  <w:style w:type="character" w:styleId="Wrtext" w:customStyle="1">
    <w:name w:val="wrtext"/>
    <w:basedOn w:val="DefaultParagraphFont"/>
    <w:qFormat/>
    <w:rsid w:val="00ac498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c4981"/>
    <w:pPr>
      <w:widowControl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osweb.uni.wroc.pl/kontroler.php?_action=katalog2/przedmioty/pokazPrzedmiot&amp;kod=23-AD-S2-S1-APSKW-PP" TargetMode="External"/><Relationship Id="rId3" Type="http://schemas.openxmlformats.org/officeDocument/2006/relationships/hyperlink" Target="https://uni.wroc.pl/zarzadzenie-rektora-w-sprawie-przeciwdzialania-rozprzestrzenianiu-sie-covid-19-wsrod-czlonkow-spolecznosci-uniwersytetu-wroclawskieg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LibreOffice/6.3.2.2$Windows_X86_64 LibreOffice_project/98b30e735bda24bc04ab42594c85f7fd8be07b9c</Application>
  <Pages>2</Pages>
  <Words>354</Words>
  <Characters>2303</Characters>
  <CharactersWithSpaces>2639</CharactersWithSpaces>
  <Paragraphs>35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2019-10-05T20:47:00Z</dcterms:created>
  <dc:creator>Agata</dc:creator>
  <dc:description/>
  <dc:language>pl-PL</dc:language>
  <cp:lastModifiedBy/>
  <dcterms:modified xsi:type="dcterms:W3CDTF">2020-03-13T13:07:25Z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