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E506" w14:textId="77777777" w:rsidR="006F19BB" w:rsidRDefault="006F19BB" w:rsidP="002A137E">
      <w:pPr>
        <w:jc w:val="center"/>
        <w:rPr>
          <w:rFonts w:ascii="Arial" w:hAnsi="Arial" w:cs="Arial"/>
          <w:b/>
          <w:u w:val="single"/>
          <w:lang w:val="en-GB"/>
        </w:rPr>
      </w:pPr>
    </w:p>
    <w:p w14:paraId="72AD3DF6" w14:textId="1C4E8DD9" w:rsidR="00A2732B" w:rsidRDefault="00D1524C" w:rsidP="002A137E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Exam topics</w:t>
      </w:r>
    </w:p>
    <w:p w14:paraId="11B8E7D2" w14:textId="77777777" w:rsidR="008D22BB" w:rsidRPr="008D22BB" w:rsidRDefault="008D22BB" w:rsidP="002A137E">
      <w:pPr>
        <w:jc w:val="center"/>
        <w:rPr>
          <w:rFonts w:ascii="Arial" w:hAnsi="Arial" w:cs="Arial"/>
          <w:b/>
          <w:u w:val="single"/>
          <w:lang w:val="en-GB"/>
        </w:rPr>
      </w:pPr>
    </w:p>
    <w:p w14:paraId="7B2EE8BF" w14:textId="77777777" w:rsidR="002A137E" w:rsidRDefault="002A137E" w:rsidP="008D22BB">
      <w:pPr>
        <w:spacing w:line="360" w:lineRule="auto"/>
        <w:jc w:val="center"/>
        <w:rPr>
          <w:rFonts w:ascii="Arial" w:hAnsi="Arial" w:cs="Arial"/>
          <w:lang w:val="en-GB"/>
        </w:rPr>
      </w:pPr>
    </w:p>
    <w:p w14:paraId="16CD6B0E" w14:textId="221B3BAA" w:rsidR="002A137E" w:rsidRDefault="008D22BB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GB"/>
        </w:rPr>
      </w:pPr>
      <w:r w:rsidRPr="008D22BB">
        <w:rPr>
          <w:rFonts w:ascii="Arial" w:hAnsi="Arial" w:cs="Arial"/>
          <w:lang w:val="en-US"/>
        </w:rPr>
        <w:t xml:space="preserve">The levels of strategic </w:t>
      </w:r>
      <w:r>
        <w:rPr>
          <w:rFonts w:ascii="Arial" w:hAnsi="Arial" w:cs="Arial"/>
          <w:lang w:val="en-US"/>
        </w:rPr>
        <w:t>management;</w:t>
      </w:r>
    </w:p>
    <w:p w14:paraId="66FBEBE2" w14:textId="0C0C8E31" w:rsidR="008D22BB" w:rsidRPr="008D22BB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 xml:space="preserve"> </w:t>
      </w:r>
      <w:r w:rsidR="008D22BB" w:rsidRPr="008D22BB">
        <w:rPr>
          <w:rFonts w:ascii="Arial" w:hAnsi="Arial" w:cs="Arial"/>
          <w:lang w:val="en-US"/>
        </w:rPr>
        <w:t>The strategic management process</w:t>
      </w:r>
      <w:r w:rsidR="008D22BB">
        <w:rPr>
          <w:rFonts w:ascii="Arial" w:hAnsi="Arial" w:cs="Arial"/>
          <w:lang w:val="en-US"/>
        </w:rPr>
        <w:t>;</w:t>
      </w:r>
    </w:p>
    <w:p w14:paraId="6FC27AE5" w14:textId="3C1BA819" w:rsidR="008D22BB" w:rsidRPr="00C3316D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8D22BB" w:rsidRPr="008D22BB">
        <w:rPr>
          <w:rFonts w:ascii="Arial" w:hAnsi="Arial" w:cs="Arial"/>
          <w:lang w:val="en-US"/>
        </w:rPr>
        <w:t>Strategic business unit – a definition + SBU’s in other firms;</w:t>
      </w:r>
    </w:p>
    <w:p w14:paraId="54AEE593" w14:textId="3B22AB8A" w:rsidR="008D22BB" w:rsidRPr="008D22BB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  <w:r w:rsidR="008D22BB" w:rsidRPr="008D22BB">
        <w:rPr>
          <w:rFonts w:ascii="Arial" w:hAnsi="Arial" w:cs="Arial"/>
          <w:lang w:val="en-US"/>
        </w:rPr>
        <w:t>Mission and vision;</w:t>
      </w:r>
    </w:p>
    <w:p w14:paraId="0F449258" w14:textId="45D0511F" w:rsidR="008D22BB" w:rsidRPr="00C3316D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Pr="00DF73EF">
        <w:rPr>
          <w:rFonts w:ascii="Arial" w:hAnsi="Arial" w:cs="Arial"/>
          <w:lang w:val="en-US"/>
        </w:rPr>
        <w:t>Micro- and macroenvironment of the firm</w:t>
      </w:r>
      <w:r>
        <w:rPr>
          <w:rFonts w:ascii="Arial" w:hAnsi="Arial" w:cs="Arial"/>
          <w:lang w:val="en-US"/>
        </w:rPr>
        <w:t>;</w:t>
      </w:r>
    </w:p>
    <w:p w14:paraId="026F89A2" w14:textId="5B9126DE" w:rsidR="00FC64DA" w:rsidRPr="008D22BB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  <w:r w:rsidR="008D22BB" w:rsidRPr="008D22BB">
        <w:rPr>
          <w:rFonts w:ascii="Arial" w:hAnsi="Arial" w:cs="Arial"/>
          <w:lang w:val="en-US"/>
        </w:rPr>
        <w:t>“Smart” method;</w:t>
      </w:r>
    </w:p>
    <w:p w14:paraId="147EA7DE" w14:textId="4A0276B7" w:rsidR="00FC64DA" w:rsidRPr="008D22BB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  <w:r w:rsidR="008D22BB" w:rsidRPr="008D22BB">
        <w:rPr>
          <w:rFonts w:ascii="Arial" w:hAnsi="Arial" w:cs="Arial"/>
          <w:lang w:val="en-US"/>
        </w:rPr>
        <w:t xml:space="preserve">BCG </w:t>
      </w:r>
      <w:proofErr w:type="spellStart"/>
      <w:r w:rsidR="008D22BB" w:rsidRPr="008D22BB">
        <w:rPr>
          <w:rFonts w:ascii="Arial" w:hAnsi="Arial" w:cs="Arial"/>
          <w:lang w:val="en-US"/>
        </w:rPr>
        <w:t>martix</w:t>
      </w:r>
      <w:proofErr w:type="spellEnd"/>
      <w:r w:rsidR="008D22BB" w:rsidRPr="008D22BB">
        <w:rPr>
          <w:rFonts w:ascii="Arial" w:hAnsi="Arial" w:cs="Arial"/>
          <w:lang w:val="en-US"/>
        </w:rPr>
        <w:t>;</w:t>
      </w:r>
    </w:p>
    <w:p w14:paraId="229E92C2" w14:textId="7BA026EE" w:rsidR="00FC64DA" w:rsidRPr="008D22BB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  <w:r w:rsidR="008D22BB" w:rsidRPr="008D22BB">
        <w:rPr>
          <w:rFonts w:ascii="Arial" w:hAnsi="Arial" w:cs="Arial"/>
          <w:lang w:val="en-US"/>
        </w:rPr>
        <w:t>Ansoff matrix;</w:t>
      </w:r>
    </w:p>
    <w:p w14:paraId="45B74E82" w14:textId="07379D74" w:rsidR="00FC64DA" w:rsidRPr="008D22BB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  <w:r w:rsidR="008D22BB" w:rsidRPr="008D22BB">
        <w:rPr>
          <w:rFonts w:ascii="Arial" w:hAnsi="Arial" w:cs="Arial"/>
          <w:lang w:val="en-US"/>
        </w:rPr>
        <w:t>Strategic evaluation and control,</w:t>
      </w:r>
    </w:p>
    <w:p w14:paraId="6D1C8E08" w14:textId="27F1EDAC" w:rsidR="008D22BB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8D22BB" w:rsidRPr="008D22BB">
        <w:rPr>
          <w:rFonts w:ascii="Arial" w:hAnsi="Arial" w:cs="Arial"/>
          <w:lang w:val="en-GB"/>
        </w:rPr>
        <w:t>Kodak case</w:t>
      </w:r>
      <w:r w:rsidR="008D22BB">
        <w:rPr>
          <w:rFonts w:ascii="Arial" w:hAnsi="Arial" w:cs="Arial"/>
          <w:lang w:val="en-GB"/>
        </w:rPr>
        <w:t>;</w:t>
      </w:r>
    </w:p>
    <w:p w14:paraId="08A377D3" w14:textId="76795655" w:rsidR="008D22BB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8D22BB" w:rsidRPr="008D22BB">
        <w:rPr>
          <w:rFonts w:ascii="Arial" w:hAnsi="Arial" w:cs="Arial"/>
          <w:lang w:val="en-GB"/>
        </w:rPr>
        <w:t>Iridium case</w:t>
      </w:r>
    </w:p>
    <w:p w14:paraId="2F714BE1" w14:textId="2173E733" w:rsidR="00FC64DA" w:rsidRPr="00C3316D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 xml:space="preserve"> </w:t>
      </w:r>
      <w:r w:rsidR="008D22BB" w:rsidRPr="008D22BB">
        <w:rPr>
          <w:rFonts w:ascii="Arial" w:hAnsi="Arial" w:cs="Arial"/>
          <w:lang w:val="en-GB"/>
        </w:rPr>
        <w:t>Adjacent-market strategy on the basis of the chosen company;</w:t>
      </w:r>
    </w:p>
    <w:p w14:paraId="6EBAE1DA" w14:textId="3E42BDB0" w:rsidR="00FC64DA" w:rsidRPr="00C3316D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 xml:space="preserve"> </w:t>
      </w:r>
      <w:r w:rsidR="008D22BB" w:rsidRPr="008D22BB">
        <w:rPr>
          <w:rFonts w:ascii="Arial" w:hAnsi="Arial" w:cs="Arial"/>
          <w:lang w:val="en-GB"/>
        </w:rPr>
        <w:t>Consolidation strategy on the basis of the chosen firm;</w:t>
      </w:r>
    </w:p>
    <w:p w14:paraId="6EE428BE" w14:textId="68848081" w:rsidR="008D22BB" w:rsidRPr="008D22BB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 xml:space="preserve"> </w:t>
      </w:r>
      <w:r w:rsidR="008D22BB" w:rsidRPr="008D22BB">
        <w:rPr>
          <w:rFonts w:ascii="Arial" w:hAnsi="Arial" w:cs="Arial"/>
          <w:lang w:val="en-US"/>
        </w:rPr>
        <w:t>Product life cycle + planned obsolescence;</w:t>
      </w:r>
    </w:p>
    <w:p w14:paraId="09B1C281" w14:textId="175EC815" w:rsidR="008D22BB" w:rsidRPr="00C3316D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 xml:space="preserve"> </w:t>
      </w:r>
      <w:r w:rsidR="006F19BB" w:rsidRPr="006F19BB">
        <w:rPr>
          <w:rFonts w:ascii="Arial" w:hAnsi="Arial" w:cs="Arial"/>
          <w:lang w:val="en-US"/>
        </w:rPr>
        <w:t xml:space="preserve">Nobel Prize in economics </w:t>
      </w:r>
      <w:r w:rsidR="003463F5">
        <w:rPr>
          <w:rFonts w:ascii="Arial" w:hAnsi="Arial" w:cs="Arial"/>
          <w:lang w:val="en-US"/>
        </w:rPr>
        <w:t>2019</w:t>
      </w:r>
      <w:bookmarkStart w:id="0" w:name="_GoBack"/>
      <w:bookmarkEnd w:id="0"/>
      <w:r>
        <w:rPr>
          <w:rFonts w:ascii="Arial" w:hAnsi="Arial" w:cs="Arial"/>
          <w:lang w:val="en-US"/>
        </w:rPr>
        <w:t>;</w:t>
      </w:r>
    </w:p>
    <w:p w14:paraId="1F2E240E" w14:textId="01C71945" w:rsidR="00C3316D" w:rsidRPr="00C3316D" w:rsidRDefault="00C3316D" w:rsidP="00C3316D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 w:rsidRPr="00C3316D">
        <w:rPr>
          <w:rFonts w:ascii="Arial" w:hAnsi="Arial" w:cs="Arial"/>
          <w:lang w:val="en-US"/>
        </w:rPr>
        <w:t>Glocalisation</w:t>
      </w:r>
      <w:proofErr w:type="spellEnd"/>
      <w:r w:rsidRPr="00C3316D">
        <w:rPr>
          <w:rFonts w:ascii="Arial" w:hAnsi="Arial" w:cs="Arial"/>
          <w:lang w:val="en-US"/>
        </w:rPr>
        <w:t xml:space="preserve"> – explanation + examples;</w:t>
      </w:r>
    </w:p>
    <w:p w14:paraId="4170E2B0" w14:textId="6454DC4F" w:rsidR="00C3316D" w:rsidRPr="00C3316D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Pr="00DF73EF">
        <w:rPr>
          <w:rFonts w:ascii="Arial" w:hAnsi="Arial" w:cs="Arial"/>
          <w:lang w:val="en-US"/>
        </w:rPr>
        <w:t>D. Ricardo: The law of comparative advantage;</w:t>
      </w:r>
    </w:p>
    <w:p w14:paraId="4E27B4EE" w14:textId="77777777" w:rsidR="00C3316D" w:rsidRPr="00C3316D" w:rsidRDefault="00C3316D" w:rsidP="00C3316D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GB"/>
        </w:rPr>
      </w:pPr>
      <w:r w:rsidRPr="00C3316D">
        <w:rPr>
          <w:rFonts w:ascii="Arial" w:hAnsi="Arial" w:cs="Arial"/>
          <w:lang w:val="en-GB"/>
        </w:rPr>
        <w:t xml:space="preserve"> </w:t>
      </w:r>
      <w:r w:rsidRPr="00C3316D">
        <w:rPr>
          <w:rFonts w:ascii="Arial" w:hAnsi="Arial" w:cs="Arial"/>
          <w:lang w:val="en-US"/>
        </w:rPr>
        <w:t>Low- and high-context cultures;</w:t>
      </w:r>
    </w:p>
    <w:p w14:paraId="695185D8" w14:textId="4D5EE4BD" w:rsidR="00C3316D" w:rsidRPr="00C3316D" w:rsidRDefault="00C3316D" w:rsidP="008D22BB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Pr="00DF73EF">
        <w:rPr>
          <w:rFonts w:ascii="Arial" w:hAnsi="Arial" w:cs="Arial"/>
          <w:lang w:val="en-US"/>
        </w:rPr>
        <w:t>Marketing mix – a classic concept;</w:t>
      </w:r>
    </w:p>
    <w:p w14:paraId="640FCE01" w14:textId="7F975E7D" w:rsidR="00C3316D" w:rsidRPr="00C3316D" w:rsidRDefault="00C3316D" w:rsidP="00C3316D">
      <w:pPr>
        <w:pStyle w:val="Akapitzlist"/>
        <w:numPr>
          <w:ilvl w:val="0"/>
          <w:numId w:val="1"/>
        </w:numPr>
        <w:spacing w:line="480" w:lineRule="auto"/>
        <w:ind w:left="0"/>
        <w:jc w:val="both"/>
        <w:rPr>
          <w:rFonts w:ascii="Arial" w:hAnsi="Arial" w:cs="Arial"/>
          <w:lang w:val="en-GB"/>
        </w:rPr>
      </w:pPr>
      <w:r w:rsidRPr="00C3316D">
        <w:rPr>
          <w:rFonts w:ascii="Arial" w:hAnsi="Arial" w:cs="Arial"/>
          <w:lang w:val="en-US"/>
        </w:rPr>
        <w:t>Marketing mix in international markets (product, price, promotion, place);</w:t>
      </w:r>
    </w:p>
    <w:p w14:paraId="38550088" w14:textId="30022A50" w:rsidR="00C3316D" w:rsidRDefault="00C3316D" w:rsidP="00C3316D">
      <w:pPr>
        <w:pStyle w:val="Akapitzlist"/>
        <w:spacing w:line="480" w:lineRule="auto"/>
        <w:ind w:left="0"/>
        <w:jc w:val="both"/>
        <w:rPr>
          <w:rFonts w:ascii="Arial" w:hAnsi="Arial" w:cs="Arial"/>
          <w:lang w:val="en-GB"/>
        </w:rPr>
      </w:pPr>
    </w:p>
    <w:p w14:paraId="26AC6278" w14:textId="7FD28E44" w:rsidR="00AC79A8" w:rsidRPr="002A137E" w:rsidRDefault="00AC79A8" w:rsidP="008D22BB">
      <w:pPr>
        <w:pStyle w:val="Akapitzlist"/>
        <w:spacing w:line="360" w:lineRule="auto"/>
        <w:jc w:val="both"/>
        <w:rPr>
          <w:rFonts w:ascii="Arial" w:hAnsi="Arial" w:cs="Arial"/>
          <w:lang w:val="en-GB"/>
        </w:rPr>
      </w:pPr>
    </w:p>
    <w:sectPr w:rsidR="00AC79A8" w:rsidRPr="002A137E" w:rsidSect="004160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7A1"/>
    <w:multiLevelType w:val="hybridMultilevel"/>
    <w:tmpl w:val="223CB1AE"/>
    <w:lvl w:ilvl="0" w:tplc="0FD4738A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F43C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9468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5C32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40C4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584E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A6AB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3D6E8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B2F5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C4C83"/>
    <w:multiLevelType w:val="hybridMultilevel"/>
    <w:tmpl w:val="20C4707C"/>
    <w:lvl w:ilvl="0" w:tplc="E10C34EA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5C5C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F435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A88F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04CA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D6A2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F9800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9388E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5ED0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66489"/>
    <w:multiLevelType w:val="hybridMultilevel"/>
    <w:tmpl w:val="582A9766"/>
    <w:lvl w:ilvl="0" w:tplc="9C968F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CA2D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5A18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710F7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09461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ACE0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86EF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D018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22ED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41F2F"/>
    <w:multiLevelType w:val="hybridMultilevel"/>
    <w:tmpl w:val="F44A8338"/>
    <w:lvl w:ilvl="0" w:tplc="5A9C9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2D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AE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1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A6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89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D4D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2A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C2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D5AC2"/>
    <w:multiLevelType w:val="hybridMultilevel"/>
    <w:tmpl w:val="12D828F6"/>
    <w:lvl w:ilvl="0" w:tplc="D17E7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DEA5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D02F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F086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E78F5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5C97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A265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9E4B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3E019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84D7F"/>
    <w:multiLevelType w:val="hybridMultilevel"/>
    <w:tmpl w:val="98D231FC"/>
    <w:lvl w:ilvl="0" w:tplc="F69AF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329C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26D4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A85C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7CEA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B8848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32B5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D48F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70BF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809C8"/>
    <w:multiLevelType w:val="hybridMultilevel"/>
    <w:tmpl w:val="D562AB50"/>
    <w:lvl w:ilvl="0" w:tplc="CE38B012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88E2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74F9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8AFD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A4B2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3C10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D82D4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0046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2B87B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D6219"/>
    <w:multiLevelType w:val="hybridMultilevel"/>
    <w:tmpl w:val="33163D0E"/>
    <w:lvl w:ilvl="0" w:tplc="C1F8BF08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6E66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0AE7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56E0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4D22C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1A81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429F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FAA49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56BB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E1570"/>
    <w:multiLevelType w:val="hybridMultilevel"/>
    <w:tmpl w:val="5D7E2372"/>
    <w:lvl w:ilvl="0" w:tplc="29C4BF4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724F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6680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6982B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0CC4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F218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D25A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1CDE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3E05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3473F"/>
    <w:multiLevelType w:val="hybridMultilevel"/>
    <w:tmpl w:val="F7980888"/>
    <w:lvl w:ilvl="0" w:tplc="849E2A46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0ABD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3664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BAF8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4085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024D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0C7D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1488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F016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056B3"/>
    <w:multiLevelType w:val="hybridMultilevel"/>
    <w:tmpl w:val="6096B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7E"/>
    <w:rsid w:val="000659D9"/>
    <w:rsid w:val="002A137E"/>
    <w:rsid w:val="003463F5"/>
    <w:rsid w:val="004160CB"/>
    <w:rsid w:val="004D4239"/>
    <w:rsid w:val="00674A47"/>
    <w:rsid w:val="006F19BB"/>
    <w:rsid w:val="00884303"/>
    <w:rsid w:val="008D22BB"/>
    <w:rsid w:val="00944FB4"/>
    <w:rsid w:val="00AC79A8"/>
    <w:rsid w:val="00C3316D"/>
    <w:rsid w:val="00CA78B3"/>
    <w:rsid w:val="00D1524C"/>
    <w:rsid w:val="00D36F08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4A2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76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63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927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4088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090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6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331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079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838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Microsoft Office User</cp:lastModifiedBy>
  <cp:revision>2</cp:revision>
  <dcterms:created xsi:type="dcterms:W3CDTF">2020-01-10T08:14:00Z</dcterms:created>
  <dcterms:modified xsi:type="dcterms:W3CDTF">2020-01-10T08:14:00Z</dcterms:modified>
</cp:coreProperties>
</file>