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34" w:rsidRPr="00AB5103" w:rsidRDefault="00D754EB" w:rsidP="008D07CE">
      <w:pPr>
        <w:pStyle w:val="Default"/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Dr </w:t>
      </w:r>
      <w:r>
        <w:rPr>
          <w:rFonts w:asciiTheme="majorHAnsi" w:hAnsiTheme="majorHAnsi"/>
          <w:color w:val="auto"/>
        </w:rPr>
        <w:t xml:space="preserve">hab. </w:t>
      </w:r>
      <w:r w:rsidRPr="00AB5103">
        <w:rPr>
          <w:rFonts w:asciiTheme="majorHAnsi" w:hAnsiTheme="majorHAnsi"/>
          <w:color w:val="auto"/>
        </w:rPr>
        <w:t>Sylwia Jarosz-Żukowska</w:t>
      </w:r>
      <w:r>
        <w:rPr>
          <w:rFonts w:asciiTheme="majorHAnsi" w:hAnsiTheme="majorHAnsi"/>
          <w:color w:val="auto"/>
        </w:rPr>
        <w:t>,</w:t>
      </w:r>
      <w:r w:rsidRPr="00AB5103">
        <w:rPr>
          <w:rFonts w:asciiTheme="majorHAnsi" w:hAnsiTheme="majorHAnsi"/>
          <w:color w:val="auto"/>
        </w:rPr>
        <w:t xml:space="preserve"> </w:t>
      </w:r>
      <w:r w:rsidR="00ED5A34" w:rsidRPr="00AB5103">
        <w:rPr>
          <w:rFonts w:asciiTheme="majorHAnsi" w:hAnsiTheme="majorHAnsi"/>
          <w:color w:val="auto"/>
        </w:rPr>
        <w:t xml:space="preserve">Dr Marta Kłopocka-Jasińska, </w:t>
      </w:r>
    </w:p>
    <w:p w:rsidR="00ED5A34" w:rsidRPr="00AB5103" w:rsidRDefault="00ED5A34" w:rsidP="008D07CE">
      <w:pPr>
        <w:pStyle w:val="Default"/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Katedra Prawa Konstytucyjnego</w:t>
      </w:r>
    </w:p>
    <w:p w:rsidR="00ED5A34" w:rsidRPr="00AB5103" w:rsidRDefault="00ED5A34" w:rsidP="008D07CE">
      <w:pPr>
        <w:pStyle w:val="Default"/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Wydział Prawa, Administracji i Ekonomii</w:t>
      </w:r>
    </w:p>
    <w:p w:rsidR="00ED5A34" w:rsidRPr="00AB5103" w:rsidRDefault="00ED5A34" w:rsidP="008D07CE">
      <w:pPr>
        <w:pStyle w:val="Default"/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Uniwersytet Wrocławski</w:t>
      </w:r>
    </w:p>
    <w:p w:rsidR="00ED5A34" w:rsidRDefault="00ED5A34" w:rsidP="008D07CE">
      <w:pPr>
        <w:pStyle w:val="Default"/>
        <w:rPr>
          <w:rFonts w:asciiTheme="majorHAnsi" w:hAnsiTheme="majorHAnsi"/>
          <w:b/>
          <w:color w:val="auto"/>
        </w:rPr>
      </w:pPr>
    </w:p>
    <w:p w:rsidR="009433D2" w:rsidRDefault="009433D2" w:rsidP="00D754EB">
      <w:pPr>
        <w:pStyle w:val="Default"/>
        <w:jc w:val="center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SSA III WYKŁAD – ZALICZENIE</w:t>
      </w:r>
    </w:p>
    <w:p w:rsidR="009433D2" w:rsidRPr="00AB5103" w:rsidRDefault="009433D2" w:rsidP="008D07CE">
      <w:pPr>
        <w:pStyle w:val="Default"/>
        <w:rPr>
          <w:rFonts w:asciiTheme="majorHAnsi" w:hAnsiTheme="majorHAnsi"/>
          <w:b/>
          <w:color w:val="auto"/>
        </w:rPr>
      </w:pPr>
    </w:p>
    <w:p w:rsidR="00ED5A34" w:rsidRPr="00AB5103" w:rsidRDefault="00ED5A34" w:rsidP="00ED5A34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AB5103">
        <w:rPr>
          <w:rFonts w:asciiTheme="majorHAnsi" w:hAnsiTheme="majorHAnsi"/>
          <w:b/>
          <w:color w:val="auto"/>
        </w:rPr>
        <w:t>Prawa człowieka i systemy ich ochrony</w:t>
      </w:r>
    </w:p>
    <w:p w:rsidR="004006BE" w:rsidRPr="00AB5103" w:rsidRDefault="004006BE" w:rsidP="00ED5A34">
      <w:pPr>
        <w:pStyle w:val="Default"/>
        <w:jc w:val="both"/>
        <w:rPr>
          <w:rFonts w:asciiTheme="majorHAnsi" w:hAnsiTheme="majorHAnsi"/>
          <w:color w:val="auto"/>
        </w:rPr>
      </w:pPr>
    </w:p>
    <w:p w:rsidR="00ED5A34" w:rsidRPr="00AB5103" w:rsidRDefault="00AB5103" w:rsidP="00ED5A34">
      <w:pPr>
        <w:pStyle w:val="Default"/>
        <w:jc w:val="both"/>
        <w:rPr>
          <w:rFonts w:asciiTheme="majorHAnsi" w:hAnsiTheme="majorHAnsi"/>
          <w:color w:val="auto"/>
          <w:u w:val="single"/>
        </w:rPr>
      </w:pPr>
      <w:r>
        <w:rPr>
          <w:rFonts w:asciiTheme="majorHAnsi" w:hAnsiTheme="majorHAnsi"/>
          <w:color w:val="auto"/>
          <w:u w:val="single"/>
        </w:rPr>
        <w:t>Lista pytań</w:t>
      </w:r>
    </w:p>
    <w:p w:rsidR="00ED5A34" w:rsidRPr="00AB5103" w:rsidRDefault="00ED5A34" w:rsidP="008D07CE">
      <w:pPr>
        <w:pStyle w:val="Default"/>
        <w:rPr>
          <w:rFonts w:asciiTheme="majorHAnsi" w:hAnsiTheme="majorHAnsi"/>
          <w:color w:val="auto"/>
        </w:rPr>
      </w:pPr>
    </w:p>
    <w:p w:rsidR="00ED5A34" w:rsidRPr="00AB5103" w:rsidRDefault="00ED5A34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Pojęcie praw człowieka</w:t>
      </w:r>
    </w:p>
    <w:p w:rsidR="00ED5A34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Systemy ochrony praw człowieka (krajowy, regionalny, międzynarodowy)</w:t>
      </w:r>
    </w:p>
    <w:p w:rsidR="008D07CE" w:rsidRPr="00AB5103" w:rsidRDefault="00ED5A34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Idea praw człowieka w ujęciu </w:t>
      </w:r>
      <w:proofErr w:type="spellStart"/>
      <w:r w:rsidRPr="00AB5103">
        <w:rPr>
          <w:rFonts w:asciiTheme="majorHAnsi" w:hAnsiTheme="majorHAnsi"/>
          <w:color w:val="auto"/>
        </w:rPr>
        <w:t>prawnonaturalnym</w:t>
      </w:r>
      <w:proofErr w:type="spellEnd"/>
      <w:r w:rsidRPr="00AB5103">
        <w:rPr>
          <w:rFonts w:asciiTheme="majorHAnsi" w:hAnsiTheme="majorHAnsi"/>
          <w:color w:val="auto"/>
        </w:rPr>
        <w:t xml:space="preserve">, </w:t>
      </w:r>
      <w:proofErr w:type="spellStart"/>
      <w:r w:rsidRPr="00AB5103">
        <w:rPr>
          <w:rFonts w:asciiTheme="majorHAnsi" w:hAnsiTheme="majorHAnsi"/>
          <w:color w:val="auto"/>
        </w:rPr>
        <w:t>deliberatywnym</w:t>
      </w:r>
      <w:proofErr w:type="spellEnd"/>
      <w:r w:rsidRPr="00AB5103">
        <w:rPr>
          <w:rFonts w:asciiTheme="majorHAnsi" w:hAnsiTheme="majorHAnsi"/>
          <w:color w:val="auto"/>
        </w:rPr>
        <w:t>, dyskursywnym oraz w ujęciu szkoły protestu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Generacje praw człowieka 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Źródła praw człowieka </w:t>
      </w:r>
    </w:p>
    <w:p w:rsidR="00ED5A34" w:rsidRPr="00AB5103" w:rsidRDefault="00ED5A34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Prawa człowieka a rządy prawa </w:t>
      </w:r>
    </w:p>
    <w:p w:rsidR="004006BE" w:rsidRPr="00AB5103" w:rsidRDefault="004006B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Godność człowieka</w:t>
      </w:r>
    </w:p>
    <w:p w:rsidR="00ED5A34" w:rsidRPr="00AB5103" w:rsidRDefault="00ED5A34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Podmioty praw człowieka</w:t>
      </w:r>
    </w:p>
    <w:p w:rsidR="00ED5A34" w:rsidRPr="00AB5103" w:rsidRDefault="00ED5A34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Adresaci praw człowieka</w:t>
      </w:r>
    </w:p>
    <w:p w:rsidR="00ED5A34" w:rsidRPr="00AB5103" w:rsidRDefault="00ED5A34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Granice i ograniczenia praw człowieka</w:t>
      </w:r>
      <w:r w:rsidR="00A25D6B" w:rsidRPr="00AB5103">
        <w:rPr>
          <w:rFonts w:asciiTheme="majorHAnsi" w:hAnsiTheme="majorHAnsi"/>
          <w:color w:val="auto"/>
        </w:rPr>
        <w:t>. Zasada proporcjonalności.</w:t>
      </w:r>
    </w:p>
    <w:p w:rsidR="00A25D6B" w:rsidRPr="00AB5103" w:rsidRDefault="00A25D6B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Efekt mrożący </w:t>
      </w:r>
    </w:p>
    <w:p w:rsidR="00A25D6B" w:rsidRPr="00AB5103" w:rsidRDefault="00A25D6B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Sądy jako organy ochrony praw człowieka</w:t>
      </w:r>
    </w:p>
    <w:p w:rsidR="00A25D6B" w:rsidRPr="00AB5103" w:rsidRDefault="00A25D6B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Prawo do sądu i jego elementy</w:t>
      </w:r>
    </w:p>
    <w:p w:rsidR="00A25D6B" w:rsidRPr="00AB5103" w:rsidRDefault="00A25D6B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Polski model skargi konstytucyjnej</w:t>
      </w:r>
    </w:p>
    <w:p w:rsidR="00A25D6B" w:rsidRPr="00AB5103" w:rsidRDefault="00A25D6B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Zadania Rzecznika Praw Obywatelskich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Europejska Konwencja o ochronie praw człowieka</w:t>
      </w:r>
      <w:r w:rsidR="00A25D6B" w:rsidRPr="00AB5103">
        <w:rPr>
          <w:rFonts w:asciiTheme="majorHAnsi" w:hAnsiTheme="majorHAnsi"/>
          <w:color w:val="auto"/>
        </w:rPr>
        <w:t xml:space="preserve"> i podstawowych wolności (EKPC) -</w:t>
      </w:r>
      <w:r w:rsidRPr="00AB5103">
        <w:rPr>
          <w:rFonts w:asciiTheme="majorHAnsi" w:hAnsiTheme="majorHAnsi"/>
          <w:color w:val="auto"/>
        </w:rPr>
        <w:t xml:space="preserve"> charakterystyka 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Mechanizm kontrolny do Konwencji Europejskiej 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Znaczenie Protokołów Dodatkowych oraz ich rodzaje 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Prawa i wolności chronione EKPC 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Skład i organizacja Europejskiego Trybunału Praw Człowieka (ETPC) </w:t>
      </w:r>
    </w:p>
    <w:p w:rsidR="008D07CE" w:rsidRPr="00AB5103" w:rsidRDefault="00A25D6B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Skarga indywidualna do Europejskiego Trybunału Praw Człowieka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Prawo do życia w świetle EKPC (zakres podmiotowy oraz zakres przedmiotowy) 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Kara śmierci a EKPC 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Obowiązek ochrony życia 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Użycie śmiertelnej siły przez funkcjonariuszy państwowych </w:t>
      </w:r>
    </w:p>
    <w:p w:rsidR="008D07CE" w:rsidRPr="00AB5103" w:rsidRDefault="00A25D6B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Ś</w:t>
      </w:r>
      <w:r w:rsidR="008D07CE" w:rsidRPr="00AB5103">
        <w:rPr>
          <w:rFonts w:asciiTheme="majorHAnsi" w:hAnsiTheme="majorHAnsi"/>
          <w:color w:val="auto"/>
        </w:rPr>
        <w:t xml:space="preserve">mierć osoby pozbawionej wolności </w:t>
      </w:r>
    </w:p>
    <w:p w:rsidR="008D07CE" w:rsidRPr="00AB5103" w:rsidRDefault="004006B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Pojęcie tortur, nieludzkiego i poniżającego traktowania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Pozytywne i negatywne obowiązki państwa w związku z zakazem maltretowania 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Traktowanie więźniów w świetle art. 3 EKPC </w:t>
      </w:r>
    </w:p>
    <w:p w:rsidR="008D07CE" w:rsidRPr="00AB5103" w:rsidRDefault="004006B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Wolność zgromadzeń i zrzeszania się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Wolność wyr</w:t>
      </w:r>
      <w:r w:rsidR="00AB5103" w:rsidRPr="00AB5103">
        <w:rPr>
          <w:rFonts w:asciiTheme="majorHAnsi" w:hAnsiTheme="majorHAnsi"/>
          <w:color w:val="auto"/>
        </w:rPr>
        <w:t>ażania opinii w świetle EKPC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Prawo d</w:t>
      </w:r>
      <w:r w:rsidR="00AB5103" w:rsidRPr="00AB5103">
        <w:rPr>
          <w:rFonts w:asciiTheme="majorHAnsi" w:hAnsiTheme="majorHAnsi"/>
          <w:color w:val="auto"/>
        </w:rPr>
        <w:t>o prywatności</w:t>
      </w:r>
    </w:p>
    <w:p w:rsidR="008D07CE" w:rsidRPr="00AB5103" w:rsidRDefault="004006B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Ochrona życia rodzinneg</w:t>
      </w:r>
      <w:r w:rsidR="002762F5">
        <w:rPr>
          <w:rFonts w:asciiTheme="majorHAnsi" w:hAnsiTheme="majorHAnsi"/>
          <w:color w:val="auto"/>
        </w:rPr>
        <w:t>o. Prawo do zawarcia małżeństwa</w:t>
      </w:r>
    </w:p>
    <w:p w:rsidR="008D07CE" w:rsidRPr="00AB5103" w:rsidRDefault="008D07CE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 xml:space="preserve">Prawo do wolności i bezpieczeństwa osobistego w świetle EKPC </w:t>
      </w:r>
    </w:p>
    <w:p w:rsidR="00AB5103" w:rsidRPr="00AB5103" w:rsidRDefault="00AB5103" w:rsidP="00ED5A34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AB5103">
        <w:rPr>
          <w:rFonts w:asciiTheme="majorHAnsi" w:hAnsiTheme="majorHAnsi"/>
          <w:color w:val="auto"/>
        </w:rPr>
        <w:t>Zasada równości i zakaz dyskryminacji</w:t>
      </w:r>
    </w:p>
    <w:p w:rsidR="004006BE" w:rsidRPr="00AB5103" w:rsidRDefault="004006BE" w:rsidP="004006BE">
      <w:pPr>
        <w:pStyle w:val="Default"/>
        <w:ind w:left="360"/>
        <w:rPr>
          <w:rFonts w:asciiTheme="majorHAnsi" w:hAnsiTheme="majorHAnsi"/>
          <w:color w:val="auto"/>
        </w:rPr>
      </w:pPr>
    </w:p>
    <w:sectPr w:rsidR="004006BE" w:rsidRPr="00AB5103" w:rsidSect="002C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6991"/>
    <w:multiLevelType w:val="hybridMultilevel"/>
    <w:tmpl w:val="54325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2362F"/>
    <w:multiLevelType w:val="hybridMultilevel"/>
    <w:tmpl w:val="3B9E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7CE"/>
    <w:rsid w:val="000F07D9"/>
    <w:rsid w:val="002762F5"/>
    <w:rsid w:val="002C037C"/>
    <w:rsid w:val="004006BE"/>
    <w:rsid w:val="008B0158"/>
    <w:rsid w:val="008D07CE"/>
    <w:rsid w:val="009433D2"/>
    <w:rsid w:val="00A208E9"/>
    <w:rsid w:val="00A25D6B"/>
    <w:rsid w:val="00AB5103"/>
    <w:rsid w:val="00AB5443"/>
    <w:rsid w:val="00B61FBE"/>
    <w:rsid w:val="00B8055F"/>
    <w:rsid w:val="00C925AC"/>
    <w:rsid w:val="00D754EB"/>
    <w:rsid w:val="00E80A41"/>
    <w:rsid w:val="00ED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07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5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Sony</cp:lastModifiedBy>
  <cp:revision>4</cp:revision>
  <dcterms:created xsi:type="dcterms:W3CDTF">2019-10-14T15:48:00Z</dcterms:created>
  <dcterms:modified xsi:type="dcterms:W3CDTF">2019-10-16T15:17:00Z</dcterms:modified>
</cp:coreProperties>
</file>