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5"/>
        <w:gridCol w:w="262"/>
        <w:gridCol w:w="5528"/>
        <w:gridCol w:w="2726"/>
        <w:gridCol w:w="13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5470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726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1383" w:type="dxa"/>
          </w:tcPr>
          <w:p w:rsidR="00000000" w:rsidRDefault="00D805E4">
            <w:pPr>
              <w:pStyle w:val="EmptyLayoutCell"/>
            </w:pPr>
          </w:p>
        </w:tc>
      </w:tr>
      <w:tr w:rsidR="00121F0B" w:rsidTr="001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57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21F0B"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3638550" cy="819150"/>
                  <wp:effectExtent l="19050" t="19050" r="19050" b="19050"/>
                  <wp:docPr id="1" name="Obraz 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819150"/>
                          </a:xfrm>
                          <a:prstGeom prst="rect">
                            <a:avLst/>
                          </a:prstGeom>
                          <a:noFill/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05E4">
            <w:pPr>
              <w:pStyle w:val="EmptyLayoutCell"/>
            </w:pP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05E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5470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726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1383" w:type="dxa"/>
          </w:tcPr>
          <w:p w:rsidR="00000000" w:rsidRDefault="00D805E4">
            <w:pPr>
              <w:pStyle w:val="EmptyLayoutCell"/>
            </w:pPr>
          </w:p>
        </w:tc>
      </w:tr>
      <w:tr w:rsidR="00121F0B" w:rsidTr="001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1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2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92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OPIS PRZEDMIOTU/MODUŁU KSZTAŁCENIA - SYLABUS</w:t>
                  </w:r>
                </w:p>
              </w:tc>
            </w:tr>
          </w:tbl>
          <w:p w:rsidR="00000000" w:rsidRDefault="00D805E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5470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726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1383" w:type="dxa"/>
          </w:tcPr>
          <w:p w:rsidR="00000000" w:rsidRDefault="00D805E4">
            <w:pPr>
              <w:pStyle w:val="EmptyLayoutCell"/>
            </w:pPr>
          </w:p>
        </w:tc>
      </w:tr>
      <w:tr w:rsidR="00121F0B" w:rsidTr="001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95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09"/>
              <w:gridCol w:w="905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Nazwa przedmiotu/modułu: </w:t>
                  </w:r>
                  <w:r>
                    <w:rPr>
                      <w:rFonts w:ascii="Arial" w:eastAsia="Arial" w:hAnsi="Arial"/>
                      <w:color w:val="000000"/>
                    </w:rPr>
                    <w:t>Economic Logic (Logika dla ekonomistów)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Nazwa przedmiotu/modułu w języku angielskim: </w:t>
                  </w:r>
                  <w:r>
                    <w:rPr>
                      <w:rFonts w:ascii="Arial" w:eastAsia="Arial" w:hAnsi="Arial"/>
                      <w:color w:val="000000"/>
                    </w:rPr>
                    <w:t>Economic Logic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Jednostka prowadząca przedmiot: </w:t>
                  </w:r>
                  <w:r>
                    <w:rPr>
                      <w:rFonts w:ascii="Arial" w:eastAsia="Arial" w:hAnsi="Arial"/>
                      <w:color w:val="000000"/>
                    </w:rPr>
                    <w:t>Wydział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Prawa, Administracji i Ekonomii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Kod przedmiotu/modułu: 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Rodzaj przedmiotu/modułu: </w:t>
                  </w:r>
                  <w:r>
                    <w:rPr>
                      <w:rFonts w:ascii="Arial" w:eastAsia="Arial" w:hAnsi="Arial"/>
                      <w:color w:val="000000"/>
                    </w:rPr>
                    <w:t>Do wyboru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Kierunek studiów: </w:t>
                  </w:r>
                  <w:r>
                    <w:rPr>
                      <w:rFonts w:ascii="Arial" w:eastAsia="Arial" w:hAnsi="Arial"/>
                      <w:color w:val="000000"/>
                    </w:rPr>
                    <w:t>Bachelor of Business and Administration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Poziom studiów: </w:t>
                  </w:r>
                  <w:r>
                    <w:rPr>
                      <w:rFonts w:ascii="Arial" w:eastAsia="Arial" w:hAnsi="Arial"/>
                      <w:color w:val="000000"/>
                    </w:rPr>
                    <w:t>Studia pierwszego stopnia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Rok studiów: </w:t>
                  </w:r>
                  <w:r>
                    <w:rPr>
                      <w:rFonts w:ascii="Arial" w:eastAsia="Arial" w:hAnsi="Arial"/>
                      <w:color w:val="000000"/>
                    </w:rPr>
                    <w:t>2018/2019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Semestr: </w:t>
                  </w:r>
                  <w:r>
                    <w:rPr>
                      <w:rFonts w:ascii="Arial" w:eastAsia="Arial" w:hAnsi="Arial"/>
                      <w:color w:val="000000"/>
                    </w:rPr>
                    <w:t>I</w:t>
                  </w:r>
                  <w:r>
                    <w:rPr>
                      <w:rFonts w:ascii="Arial" w:eastAsia="Arial" w:hAnsi="Arial"/>
                      <w:color w:val="000000"/>
                    </w:rPr>
                    <w:t>I</w:t>
                  </w:r>
                </w:p>
                <w:p w:rsidR="00000000" w:rsidRDefault="00D805E4"/>
              </w:tc>
            </w:tr>
          </w:tbl>
          <w:p w:rsidR="00000000" w:rsidRDefault="00D805E4"/>
        </w:tc>
      </w:tr>
      <w:tr w:rsidR="00121F0B" w:rsidTr="001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95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10"/>
              <w:gridCol w:w="904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Forma zajęć i liczba godzin: </w:t>
                  </w:r>
                  <w:r>
                    <w:rPr>
                      <w:rFonts w:ascii="Arial" w:eastAsia="Arial" w:hAnsi="Arial"/>
                      <w:color w:val="000000"/>
                    </w:rPr>
                    <w:t>20 ( 12 - wykład 8 - ćwiczenia )</w:t>
                  </w:r>
                </w:p>
                <w:p w:rsidR="00000000" w:rsidRDefault="00D805E4"/>
              </w:tc>
            </w:tr>
          </w:tbl>
          <w:p w:rsidR="00000000" w:rsidRDefault="00D805E4"/>
        </w:tc>
      </w:tr>
      <w:tr w:rsidR="00121F0B" w:rsidTr="001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95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09"/>
              <w:gridCol w:w="905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Imię, nazwisko, tytuł/stopień naukowy osoby/osób prowadzących zajęcia: </w:t>
                  </w:r>
                  <w:r>
                    <w:rPr>
                      <w:rFonts w:ascii="Arial" w:eastAsia="Arial" w:hAnsi="Arial"/>
                      <w:color w:val="000000"/>
                    </w:rPr>
                    <w:t>prof. dr hab. inż. Witold Kwaśnicki (W, C)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3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0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03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Wymagania wstępne w zakresie: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Zrealizowanych pr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zedmiotów: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Fundamentals of Microeconomics (Podstawy mikroekonomii)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Wiedzy, umiejętności i kompetencji społecznych dla przedmiotu/modułu: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/>
                          </w:tc>
                        </w:tr>
                      </w:tbl>
                      <w:p w:rsidR="00000000" w:rsidRDefault="00D805E4"/>
                    </w:tc>
                  </w:tr>
                </w:tbl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3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03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CELE PRZEDMIOTU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1. To acquaint the students with the mechanisms of economic development and the decision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processes of producers and consumers </w:t>
                              </w:r>
                            </w:p>
                          </w:tc>
                        </w:tr>
                      </w:tbl>
                      <w:p w:rsidR="00000000" w:rsidRDefault="00D805E4"/>
                    </w:tc>
                  </w:tr>
                </w:tbl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3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0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7787"/>
                          <w:gridCol w:w="1243"/>
                        </w:tblGrid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ZAKŁADANE EFEKTY KSZTAŁCENIA</w:t>
                              </w:r>
                            </w:p>
                          </w:tc>
                        </w:tr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gridSpan w:val="2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(W - wiedza, U - umiejętności, K - kompetencje społeczne)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7823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W1 - Understanding mechanisms of economic development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W05, W08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7823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U1 - Analytic  thinking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U03, U06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7823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K1 - Good social co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mpetences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K01, K03</w:t>
                              </w:r>
                            </w:p>
                          </w:tc>
                        </w:tr>
                      </w:tbl>
                      <w:p w:rsidR="00000000" w:rsidRDefault="00D805E4"/>
                    </w:tc>
                  </w:tr>
                </w:tbl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21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15.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3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1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8"/>
                          <w:gridCol w:w="8522"/>
                        </w:tblGrid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40"/>
                          </w:trPr>
                          <w:tc>
                            <w:tcPr>
                              <w:tcW w:w="9070" w:type="dxa"/>
                              <w:gridSpan w:val="2"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TREŚCI PROGRAMOWE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1.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The smallest political quiz. Monopoly and Competition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2.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The Factors of Production: Land, Rent and Natural Resources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3.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The Factors of Production: Wages, Employment and the Productivity of Labour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Capital and Interest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5.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The Role of Entrepreneurship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6.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Financing Capitalism: Stock and Bond Markets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7.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Globalization, Protectionism and Free Trade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8.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Environmental Economics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9.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Globalization, Protectionism and Free Trade</w:t>
                              </w:r>
                            </w:p>
                          </w:tc>
                        </w:tr>
                      </w:tbl>
                      <w:p w:rsidR="00000000" w:rsidRDefault="00D805E4"/>
                    </w:tc>
                  </w:tr>
                </w:tbl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85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3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5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348"/>
                          <w:gridCol w:w="896"/>
                          <w:gridCol w:w="953"/>
                          <w:gridCol w:w="988"/>
                          <w:gridCol w:w="854"/>
                          <w:gridCol w:w="1153"/>
                          <w:gridCol w:w="838"/>
                        </w:tblGrid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65" w:type="dxa"/>
                              <w:gridSpan w:val="7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METODY WER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YFIKACJI ZAKŁADANYCH EFEKTÓW KSZTAŁCENIA</w:t>
                              </w:r>
                            </w:p>
                          </w:tc>
                        </w:tr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85"/>
                          </w:trPr>
                          <w:tc>
                            <w:tcPr>
                              <w:tcW w:w="4275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/>
                          </w:tc>
                          <w:tc>
                            <w:tcPr>
                              <w:tcW w:w="9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Egzamin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Prace kontrolne</w:t>
                              </w:r>
                            </w:p>
                          </w:tc>
                          <w:tc>
                            <w:tcPr>
                              <w:tcW w:w="8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Projekty</w:t>
                              </w:r>
                            </w:p>
                          </w:tc>
                          <w:tc>
                            <w:tcPr>
                              <w:tcW w:w="11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Aktywność</w:t>
                              </w:r>
                            </w:p>
                          </w:tc>
                          <w:tc>
                            <w:tcPr>
                              <w:tcW w:w="83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Praca własna</w:t>
                              </w:r>
                            </w:p>
                          </w:tc>
                        </w:tr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4275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W1 - Understanding mechanisms of economic development</w:t>
                              </w:r>
                            </w:p>
                          </w:tc>
                          <w:tc>
                            <w:tcPr>
                              <w:tcW w:w="9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8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11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83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+</w:t>
                              </w:r>
                            </w:p>
                          </w:tc>
                        </w:tr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4275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U1 - Analytic  thinking</w:t>
                              </w:r>
                            </w:p>
                          </w:tc>
                          <w:tc>
                            <w:tcPr>
                              <w:tcW w:w="9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8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11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83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+</w:t>
                              </w:r>
                            </w:p>
                          </w:tc>
                        </w:tr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4275" w:type="dxa"/>
                              <w:gridSpan w:val="2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K1 - Good social competences</w:t>
                              </w:r>
                            </w:p>
                          </w:tc>
                          <w:tc>
                            <w:tcPr>
                              <w:tcW w:w="9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8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11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83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+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3374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Łącznie:</w:t>
                              </w:r>
                            </w:p>
                          </w:tc>
                          <w:tc>
                            <w:tcPr>
                              <w:tcW w:w="90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%</w:t>
                              </w:r>
                            </w:p>
                          </w:tc>
                          <w:tc>
                            <w:tcPr>
                              <w:tcW w:w="9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8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115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3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000000" w:rsidRDefault="00D805E4"/>
                    </w:tc>
                  </w:tr>
                </w:tbl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3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8"/>
                          <w:gridCol w:w="8522"/>
                        </w:tblGrid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gridSpan w:val="2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ZALECANA LITERATURA: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Literatura Podstawowa: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Economic Logic  , Mark Skousen, Capital Press. Washington 2014</w:t>
                              </w:r>
                            </w:p>
                          </w:tc>
                        </w:tr>
                      </w:tbl>
                      <w:p w:rsidR="00000000" w:rsidRDefault="00D805E4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8"/>
                          <w:gridCol w:w="852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/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Literatura Uzupełniająca: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51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Economics in One Lesson, Henry Hazlitt, Mises Institute. Auburn 2008</w:t>
                              </w:r>
                            </w:p>
                          </w:tc>
                        </w:tr>
                      </w:tbl>
                      <w:p w:rsidR="00000000" w:rsidRDefault="00D805E4"/>
                    </w:tc>
                  </w:tr>
                </w:tbl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b/>
                      <w:color w:val="000000"/>
                    </w:rPr>
                    <w:t>Język wyk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ładowy: </w:t>
                  </w:r>
                  <w:r>
                    <w:rPr>
                      <w:rFonts w:ascii="Arial" w:eastAsia="Arial" w:hAnsi="Arial"/>
                      <w:color w:val="000000"/>
                    </w:rPr>
                    <w:t>polski</w:t>
                  </w:r>
                </w:p>
                <w:p w:rsidR="00000000" w:rsidRDefault="00D805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76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D805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19.</w:t>
                  </w:r>
                </w:p>
              </w:tc>
              <w:tc>
                <w:tcPr>
                  <w:tcW w:w="90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3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56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7051"/>
                          <w:gridCol w:w="1979"/>
                        </w:tblGrid>
                        <w:tr w:rsidR="00121F0B" w:rsidTr="00121F0B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gridSpan w:val="2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Obciążenie pracą studenta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7086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Forma aktywności studenta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Średnia liczba godzin na zrealizowanie aktywności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15"/>
                          </w:trPr>
                          <w:tc>
                            <w:tcPr>
                              <w:tcW w:w="7086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Godziny zajęć dydaktycznych zgodnie z planem studiów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15"/>
                          </w:trPr>
                          <w:tc>
                            <w:tcPr>
                              <w:tcW w:w="7086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Praca własna studenta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  <w:t>1. Reading of relevant chapters of the textbook 'E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conomic logic' by Mark Skousen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  <w:t>2. Reading papers and watching films suggested by the lecturer during the presentation of the course material (e.g. Henry Hazlitt, Economics in One Lesson; I pencil‚ by Leonard E. Read; Understanding “Quid Pro Quo”; Greed by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John Stossel; Hans Rosling: The best stats you’ve ever seen; Rising inequality threatens social cohesion and growth; The Power of the Free Market)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15"/>
                          </w:trPr>
                          <w:tc>
                            <w:tcPr>
                              <w:tcW w:w="7086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Suma Godzin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15"/>
                          </w:trPr>
                          <w:tc>
                            <w:tcPr>
                              <w:tcW w:w="7086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Liczba punktów ECTS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15"/>
                          </w:trPr>
                          <w:tc>
                            <w:tcPr>
                              <w:tcW w:w="7086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Sugerowana liczba punktów ECTS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00000" w:rsidRDefault="00D805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Min  2 / Max  3</w:t>
                              </w:r>
                            </w:p>
                          </w:tc>
                        </w:tr>
                      </w:tbl>
                      <w:p w:rsidR="00000000" w:rsidRDefault="00D805E4"/>
                    </w:tc>
                  </w:tr>
                </w:tbl>
                <w:p w:rsidR="00000000" w:rsidRDefault="00D805E4"/>
              </w:tc>
            </w:tr>
          </w:tbl>
          <w:p w:rsidR="00000000" w:rsidRDefault="00D805E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5470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726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1383" w:type="dxa"/>
          </w:tcPr>
          <w:p w:rsidR="00000000" w:rsidRDefault="00D805E4">
            <w:pPr>
              <w:pStyle w:val="EmptyLayoutCell"/>
            </w:pPr>
          </w:p>
        </w:tc>
      </w:tr>
      <w:tr w:rsidR="00121F0B" w:rsidTr="001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819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819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819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/>
                      <w:color w:val="000000"/>
                    </w:rPr>
                    <w:t>ylabus został zatwierdzony przez: Witold Kwaśnicki</w:t>
                  </w:r>
                </w:p>
              </w:tc>
            </w:tr>
          </w:tbl>
          <w:p w:rsidR="00000000" w:rsidRDefault="00D805E4"/>
        </w:tc>
        <w:tc>
          <w:tcPr>
            <w:tcW w:w="1383" w:type="dxa"/>
          </w:tcPr>
          <w:p w:rsidR="00000000" w:rsidRDefault="00D805E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5470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726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1383" w:type="dxa"/>
          </w:tcPr>
          <w:p w:rsidR="00000000" w:rsidRDefault="00D805E4">
            <w:pPr>
              <w:pStyle w:val="EmptyLayoutCell"/>
            </w:pPr>
          </w:p>
        </w:tc>
      </w:tr>
      <w:tr w:rsidR="00121F0B" w:rsidTr="001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254" w:type="dxa"/>
          </w:tcPr>
          <w:p w:rsidR="00000000" w:rsidRDefault="00D805E4">
            <w:pPr>
              <w:pStyle w:val="EmptyLayoutCell"/>
            </w:pPr>
          </w:p>
        </w:tc>
        <w:tc>
          <w:tcPr>
            <w:tcW w:w="819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819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819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D805E4">
                  <w:r>
                    <w:rPr>
                      <w:rFonts w:ascii="Arial" w:eastAsia="Arial" w:hAnsi="Arial"/>
                      <w:color w:val="000000"/>
                    </w:rPr>
                    <w:t>Data zatwierdzenia: 02.01.2019</w:t>
                  </w:r>
                </w:p>
              </w:tc>
            </w:tr>
          </w:tbl>
          <w:p w:rsidR="00000000" w:rsidRDefault="00D805E4"/>
        </w:tc>
        <w:tc>
          <w:tcPr>
            <w:tcW w:w="1383" w:type="dxa"/>
          </w:tcPr>
          <w:p w:rsidR="00000000" w:rsidRDefault="00D805E4">
            <w:pPr>
              <w:pStyle w:val="EmptyLayoutCell"/>
            </w:pPr>
          </w:p>
        </w:tc>
      </w:tr>
    </w:tbl>
    <w:p w:rsidR="00D805E4" w:rsidRDefault="00D805E4"/>
    <w:sectPr w:rsidR="00D805E4">
      <w:pgSz w:w="11905" w:h="16837"/>
      <w:pgMar w:top="566" w:right="566" w:bottom="566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1F0B"/>
    <w:rsid w:val="00121F0B"/>
    <w:rsid w:val="00D8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LayoutCell">
    <w:name w:val="EmptyLayoutCell"/>
    <w:basedOn w:val="Normalny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WydrukSylabusa2</dc:title>
  <dc:creator>Magda</dc:creator>
  <cp:lastModifiedBy>Magda</cp:lastModifiedBy>
  <cp:revision>2</cp:revision>
  <dcterms:created xsi:type="dcterms:W3CDTF">2020-03-17T17:33:00Z</dcterms:created>
  <dcterms:modified xsi:type="dcterms:W3CDTF">2020-03-17T17:33:00Z</dcterms:modified>
</cp:coreProperties>
</file>