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9B" w:rsidRPr="007F739B" w:rsidRDefault="007F739B" w:rsidP="007F739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ZAJĘCIA NR 4 - </w:t>
      </w:r>
      <w:r w:rsidRPr="007F739B">
        <w:rPr>
          <w:rFonts w:ascii="Times New Roman" w:hAnsi="Times New Roman" w:cs="Times New Roman"/>
          <w:b/>
          <w:sz w:val="24"/>
        </w:rPr>
        <w:t>POŻYCZKA I PORĘCZENIE</w:t>
      </w:r>
    </w:p>
    <w:p w:rsidR="007F739B" w:rsidRPr="007F739B" w:rsidRDefault="007F739B" w:rsidP="007F739B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>Po zajęciach: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>Wiesz, jak nazywają się strony tych ww. umów;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>Potrafisz określić świadczenia</w:t>
      </w:r>
      <w:r>
        <w:rPr>
          <w:rFonts w:ascii="Times New Roman" w:hAnsi="Times New Roman" w:cs="Times New Roman"/>
          <w:sz w:val="24"/>
        </w:rPr>
        <w:t xml:space="preserve"> stron ww. umów</w:t>
      </w:r>
      <w:r w:rsidRPr="007F739B">
        <w:rPr>
          <w:rFonts w:ascii="Times New Roman" w:hAnsi="Times New Roman" w:cs="Times New Roman"/>
          <w:sz w:val="24"/>
        </w:rPr>
        <w:t>;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>Po przedmiocie świadczenia i obowiązkach stron potrafisz rozróżnić, z jaką umową mamy do czynienia;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>Wiesz, w jakiej formie należy zawrzeć umowę pożyczki;</w:t>
      </w:r>
      <w:r>
        <w:rPr>
          <w:rFonts w:ascii="Times New Roman" w:hAnsi="Times New Roman" w:cs="Times New Roman"/>
          <w:sz w:val="24"/>
        </w:rPr>
        <w:t xml:space="preserve"> umiesz podać przykłady tej formy; dostrzegasz różnice między formą dokumentową a formą pisemną.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>Wiesz, czy umowa p</w:t>
      </w:r>
      <w:r>
        <w:rPr>
          <w:rFonts w:ascii="Times New Roman" w:hAnsi="Times New Roman" w:cs="Times New Roman"/>
          <w:sz w:val="24"/>
        </w:rPr>
        <w:t xml:space="preserve">ożyczki ma charakter pieniężny; </w:t>
      </w:r>
      <w:r w:rsidRPr="007F739B">
        <w:rPr>
          <w:rFonts w:ascii="Times New Roman" w:hAnsi="Times New Roman" w:cs="Times New Roman"/>
          <w:sz w:val="24"/>
        </w:rPr>
        <w:t xml:space="preserve">dostrzegasz rolę odsetek </w:t>
      </w:r>
      <w:r>
        <w:rPr>
          <w:rFonts w:ascii="Times New Roman" w:hAnsi="Times New Roman" w:cs="Times New Roman"/>
          <w:sz w:val="24"/>
        </w:rPr>
        <w:t xml:space="preserve">kapitałowych </w:t>
      </w:r>
      <w:r w:rsidRPr="007F739B">
        <w:rPr>
          <w:rFonts w:ascii="Times New Roman" w:hAnsi="Times New Roman" w:cs="Times New Roman"/>
          <w:sz w:val="24"/>
        </w:rPr>
        <w:t>w umowie pożyczki;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 xml:space="preserve">Dostrzegasz różnice między umową pożyczki a </w:t>
      </w:r>
      <w:r>
        <w:rPr>
          <w:rFonts w:ascii="Times New Roman" w:hAnsi="Times New Roman" w:cs="Times New Roman"/>
          <w:sz w:val="24"/>
        </w:rPr>
        <w:t xml:space="preserve">umową </w:t>
      </w:r>
      <w:r w:rsidRPr="007F739B">
        <w:rPr>
          <w:rFonts w:ascii="Times New Roman" w:hAnsi="Times New Roman" w:cs="Times New Roman"/>
          <w:sz w:val="24"/>
        </w:rPr>
        <w:t>użyczenia;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7F739B">
        <w:rPr>
          <w:rFonts w:ascii="Times New Roman" w:hAnsi="Times New Roman" w:cs="Times New Roman"/>
          <w:sz w:val="24"/>
        </w:rPr>
        <w:t xml:space="preserve">Wiesz, dlaczego umowa poręczenia ma charakter akcesoryjny i jakie </w:t>
      </w:r>
      <w:r>
        <w:rPr>
          <w:rFonts w:ascii="Times New Roman" w:hAnsi="Times New Roman" w:cs="Times New Roman"/>
          <w:sz w:val="24"/>
        </w:rPr>
        <w:t>rodzi to konsekwencje</w:t>
      </w:r>
      <w:r w:rsidRPr="007F739B">
        <w:rPr>
          <w:rFonts w:ascii="Times New Roman" w:hAnsi="Times New Roman" w:cs="Times New Roman"/>
          <w:sz w:val="24"/>
        </w:rPr>
        <w:t>;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Potrafisz wskazać</w:t>
      </w:r>
      <w:bookmarkStart w:id="0" w:name="_GoBack"/>
      <w:bookmarkEnd w:id="0"/>
      <w:r w:rsidRPr="007F739B">
        <w:rPr>
          <w:rFonts w:ascii="Times New Roman" w:hAnsi="Times New Roman" w:cs="Times New Roman"/>
          <w:sz w:val="24"/>
        </w:rPr>
        <w:t xml:space="preserve"> formę umowy poręczenia i rygor jej niezachowania;</w:t>
      </w:r>
    </w:p>
    <w:p w:rsidR="007F739B" w:rsidRPr="007F739B" w:rsidRDefault="007F739B" w:rsidP="007F739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Znasz zasady odpowiedzialności poręczyciela za dług</w:t>
      </w:r>
      <w:r w:rsidRPr="007F739B">
        <w:rPr>
          <w:rFonts w:ascii="Times New Roman" w:hAnsi="Times New Roman" w:cs="Times New Roman"/>
          <w:sz w:val="24"/>
        </w:rPr>
        <w:t>.</w:t>
      </w:r>
    </w:p>
    <w:p w:rsidR="00FB1DE9" w:rsidRDefault="007F739B"/>
    <w:sectPr w:rsidR="00FB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218"/>
    <w:multiLevelType w:val="hybridMultilevel"/>
    <w:tmpl w:val="9DB0F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9B"/>
    <w:rsid w:val="00035A66"/>
    <w:rsid w:val="007F4420"/>
    <w:rsid w:val="007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2019-12-21T11:28:00Z</dcterms:created>
  <dcterms:modified xsi:type="dcterms:W3CDTF">2019-12-21T11:37:00Z</dcterms:modified>
</cp:coreProperties>
</file>