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09" w:rsidRDefault="00E41A09" w:rsidP="00E41A09">
      <w:pPr>
        <w:pStyle w:val="Default"/>
        <w:jc w:val="center"/>
        <w:rPr>
          <w:b/>
          <w:bCs/>
          <w:sz w:val="23"/>
          <w:szCs w:val="23"/>
        </w:rPr>
      </w:pPr>
      <w:r>
        <w:rPr>
          <w:b/>
          <w:bCs/>
          <w:sz w:val="23"/>
          <w:szCs w:val="23"/>
        </w:rPr>
        <w:t>ZMIANY KODEKRU PRACY DOTYCZĄCE</w:t>
      </w:r>
    </w:p>
    <w:p w:rsidR="00E41A09" w:rsidRDefault="00E41A09" w:rsidP="00E41A09">
      <w:pPr>
        <w:pStyle w:val="Default"/>
        <w:jc w:val="center"/>
        <w:rPr>
          <w:b/>
          <w:bCs/>
          <w:sz w:val="23"/>
          <w:szCs w:val="23"/>
        </w:rPr>
      </w:pPr>
      <w:bookmarkStart w:id="0" w:name="_GoBack"/>
      <w:bookmarkEnd w:id="0"/>
      <w:r>
        <w:rPr>
          <w:b/>
          <w:bCs/>
          <w:sz w:val="23"/>
          <w:szCs w:val="23"/>
        </w:rPr>
        <w:t xml:space="preserve"> PRZETWARZANIA DANYCH OSOBOWYCH</w:t>
      </w:r>
    </w:p>
    <w:p w:rsidR="00E41A09" w:rsidRDefault="00E41A09" w:rsidP="00E41A09">
      <w:pPr>
        <w:pStyle w:val="Default"/>
        <w:jc w:val="center"/>
        <w:rPr>
          <w:b/>
          <w:bCs/>
          <w:sz w:val="23"/>
          <w:szCs w:val="23"/>
        </w:rPr>
      </w:pPr>
    </w:p>
    <w:p w:rsidR="00E41A09" w:rsidRDefault="00E41A09" w:rsidP="00E41A09">
      <w:pPr>
        <w:pStyle w:val="Default"/>
        <w:rPr>
          <w:sz w:val="23"/>
          <w:szCs w:val="23"/>
        </w:rPr>
      </w:pPr>
      <w:r>
        <w:rPr>
          <w:b/>
          <w:bCs/>
          <w:sz w:val="23"/>
          <w:szCs w:val="23"/>
        </w:rPr>
        <w:t>ar</w:t>
      </w:r>
      <w:r>
        <w:rPr>
          <w:b/>
          <w:bCs/>
          <w:sz w:val="23"/>
          <w:szCs w:val="23"/>
        </w:rPr>
        <w:t>t. 22</w:t>
      </w:r>
      <w:r>
        <w:rPr>
          <w:b/>
          <w:bCs/>
          <w:sz w:val="16"/>
          <w:szCs w:val="16"/>
        </w:rPr>
        <w:t>1</w:t>
      </w:r>
      <w:r>
        <w:rPr>
          <w:b/>
          <w:bCs/>
          <w:sz w:val="23"/>
          <w:szCs w:val="23"/>
        </w:rPr>
        <w:t xml:space="preserve">. </w:t>
      </w:r>
      <w:r>
        <w:rPr>
          <w:sz w:val="23"/>
          <w:szCs w:val="23"/>
        </w:rPr>
        <w:t xml:space="preserve">§ 1. Pracodawca żąda od osoby ubiegającej się o zatrudnienie podania danych osobowych obejmujących: </w:t>
      </w:r>
    </w:p>
    <w:p w:rsidR="00E41A09" w:rsidRDefault="00E41A09" w:rsidP="00E41A09">
      <w:pPr>
        <w:pStyle w:val="Default"/>
        <w:rPr>
          <w:color w:val="auto"/>
          <w:sz w:val="23"/>
          <w:szCs w:val="23"/>
        </w:rPr>
      </w:pPr>
      <w:r>
        <w:rPr>
          <w:sz w:val="23"/>
          <w:szCs w:val="23"/>
        </w:rPr>
        <w:t xml:space="preserve">1) imię (imiona) i nazwisko; </w:t>
      </w:r>
      <w:r>
        <w:rPr>
          <w:color w:val="auto"/>
          <w:sz w:val="23"/>
          <w:szCs w:val="23"/>
        </w:rPr>
        <w:t xml:space="preserve">2) datę urodzenia; </w:t>
      </w:r>
    </w:p>
    <w:p w:rsidR="00E41A09" w:rsidRDefault="00E41A09" w:rsidP="00E41A09">
      <w:pPr>
        <w:pStyle w:val="Default"/>
        <w:rPr>
          <w:color w:val="auto"/>
          <w:sz w:val="23"/>
          <w:szCs w:val="23"/>
        </w:rPr>
      </w:pPr>
      <w:r>
        <w:rPr>
          <w:color w:val="auto"/>
          <w:sz w:val="23"/>
          <w:szCs w:val="23"/>
        </w:rPr>
        <w:t xml:space="preserve">3) dane kontaktowe wskazane przez taką osobę; </w:t>
      </w:r>
    </w:p>
    <w:p w:rsidR="00E41A09" w:rsidRDefault="00E41A09" w:rsidP="00E41A09">
      <w:pPr>
        <w:pStyle w:val="Default"/>
        <w:rPr>
          <w:color w:val="auto"/>
          <w:sz w:val="23"/>
          <w:szCs w:val="23"/>
        </w:rPr>
      </w:pPr>
      <w:r>
        <w:rPr>
          <w:color w:val="auto"/>
          <w:sz w:val="23"/>
          <w:szCs w:val="23"/>
        </w:rPr>
        <w:t xml:space="preserve">4) wykształcenie; </w:t>
      </w:r>
    </w:p>
    <w:p w:rsidR="00E41A09" w:rsidRDefault="00E41A09" w:rsidP="00E41A09">
      <w:pPr>
        <w:pStyle w:val="Default"/>
        <w:rPr>
          <w:color w:val="auto"/>
          <w:sz w:val="23"/>
          <w:szCs w:val="23"/>
        </w:rPr>
      </w:pPr>
      <w:r>
        <w:rPr>
          <w:color w:val="auto"/>
          <w:sz w:val="23"/>
          <w:szCs w:val="23"/>
        </w:rPr>
        <w:t xml:space="preserve">5) kwalifikacje zawodowe; </w:t>
      </w:r>
    </w:p>
    <w:p w:rsidR="00E41A09" w:rsidRDefault="00E41A09" w:rsidP="00E41A09">
      <w:pPr>
        <w:pStyle w:val="Default"/>
        <w:rPr>
          <w:color w:val="auto"/>
          <w:sz w:val="23"/>
          <w:szCs w:val="23"/>
        </w:rPr>
      </w:pPr>
      <w:r>
        <w:rPr>
          <w:color w:val="auto"/>
          <w:sz w:val="23"/>
          <w:szCs w:val="23"/>
        </w:rPr>
        <w:t xml:space="preserve">6) przebieg dotychczasowego zatrudnienia. </w:t>
      </w:r>
    </w:p>
    <w:p w:rsidR="00E41A09" w:rsidRDefault="00E41A09" w:rsidP="00E41A09">
      <w:pPr>
        <w:pStyle w:val="Default"/>
        <w:rPr>
          <w:color w:val="auto"/>
          <w:sz w:val="23"/>
          <w:szCs w:val="23"/>
        </w:rPr>
      </w:pPr>
      <w:r>
        <w:rPr>
          <w:color w:val="auto"/>
          <w:sz w:val="23"/>
          <w:szCs w:val="23"/>
        </w:rPr>
        <w:t xml:space="preserve">§ 2. Pracodawca żąda podania danych osobowych, o których mowa w § 1 pkt 4–6, gdy jest to niezbędne do wykonywania pracy określonego rodzaju lub na określonym stanowisku. </w:t>
      </w:r>
    </w:p>
    <w:p w:rsidR="00E41A09" w:rsidRDefault="00E41A09" w:rsidP="00E41A09">
      <w:pPr>
        <w:pStyle w:val="Default"/>
        <w:rPr>
          <w:color w:val="auto"/>
          <w:sz w:val="23"/>
          <w:szCs w:val="23"/>
        </w:rPr>
      </w:pPr>
      <w:r>
        <w:rPr>
          <w:color w:val="auto"/>
          <w:sz w:val="23"/>
          <w:szCs w:val="23"/>
        </w:rPr>
        <w:t xml:space="preserve">§ 3. Pracodawca żąda od pracownika podania dodatkowo danych osobowych obejmujących: </w:t>
      </w:r>
    </w:p>
    <w:p w:rsidR="00E41A09" w:rsidRDefault="00E41A09" w:rsidP="00E41A09">
      <w:pPr>
        <w:pStyle w:val="Default"/>
        <w:rPr>
          <w:color w:val="auto"/>
          <w:sz w:val="23"/>
          <w:szCs w:val="23"/>
        </w:rPr>
      </w:pPr>
      <w:r>
        <w:rPr>
          <w:color w:val="auto"/>
          <w:sz w:val="23"/>
          <w:szCs w:val="23"/>
        </w:rPr>
        <w:t xml:space="preserve">1) adres zamieszkania; </w:t>
      </w:r>
    </w:p>
    <w:p w:rsidR="00E41A09" w:rsidRDefault="00E41A09" w:rsidP="00E41A09">
      <w:pPr>
        <w:pStyle w:val="Default"/>
        <w:rPr>
          <w:color w:val="auto"/>
          <w:sz w:val="23"/>
          <w:szCs w:val="23"/>
        </w:rPr>
      </w:pPr>
      <w:r>
        <w:rPr>
          <w:color w:val="auto"/>
          <w:sz w:val="23"/>
          <w:szCs w:val="23"/>
        </w:rPr>
        <w:t xml:space="preserve">2) numer PESEL, a w przypadku jego braku – rodzaj i numer dokumentu potwierdzającego tożsamość; </w:t>
      </w:r>
    </w:p>
    <w:p w:rsidR="00E41A09" w:rsidRDefault="00E41A09" w:rsidP="00E41A09">
      <w:pPr>
        <w:pStyle w:val="Default"/>
        <w:rPr>
          <w:color w:val="auto"/>
          <w:sz w:val="23"/>
          <w:szCs w:val="23"/>
        </w:rPr>
      </w:pPr>
      <w:r>
        <w:rPr>
          <w:color w:val="auto"/>
          <w:sz w:val="23"/>
          <w:szCs w:val="23"/>
        </w:rPr>
        <w:t xml:space="preserve">3) inne dane osobowe pracownika, a także dane osobowe dzieci pracownika i innych członków jego najbliższej rodziny, jeżeli podanie takich danych jest konieczne ze względu na korzystanie przez pracownika ze szczególnych uprawnień przewidzianych w prawie pracy; </w:t>
      </w:r>
    </w:p>
    <w:p w:rsidR="00E41A09" w:rsidRDefault="00E41A09" w:rsidP="00E41A09">
      <w:pPr>
        <w:pStyle w:val="Default"/>
        <w:rPr>
          <w:color w:val="auto"/>
          <w:sz w:val="23"/>
          <w:szCs w:val="23"/>
        </w:rPr>
      </w:pPr>
      <w:r>
        <w:rPr>
          <w:color w:val="auto"/>
          <w:sz w:val="23"/>
          <w:szCs w:val="23"/>
        </w:rPr>
        <w:t xml:space="preserve">4) wykształcenie i przebieg dotychczasowego zatrudnienia, jeżeli nie istniała podstawa do ich żądania od osoby ubiegającej się o zatrudnienie; </w:t>
      </w:r>
    </w:p>
    <w:p w:rsidR="00E41A09" w:rsidRDefault="00E41A09" w:rsidP="00E41A09">
      <w:pPr>
        <w:pStyle w:val="Default"/>
        <w:rPr>
          <w:color w:val="auto"/>
          <w:sz w:val="23"/>
          <w:szCs w:val="23"/>
        </w:rPr>
      </w:pPr>
      <w:r>
        <w:rPr>
          <w:color w:val="auto"/>
          <w:sz w:val="23"/>
          <w:szCs w:val="23"/>
        </w:rPr>
        <w:t xml:space="preserve">5) numer rachunku płatniczego, jeżeli pracownik nie złożył wniosku o wypłatę wynagrodzenia do rąk własnych. </w:t>
      </w:r>
    </w:p>
    <w:p w:rsidR="00E41A09" w:rsidRDefault="00E41A09" w:rsidP="00E41A09">
      <w:pPr>
        <w:pStyle w:val="Default"/>
        <w:rPr>
          <w:color w:val="auto"/>
          <w:sz w:val="23"/>
          <w:szCs w:val="23"/>
        </w:rPr>
      </w:pPr>
      <w:r>
        <w:rPr>
          <w:color w:val="auto"/>
          <w:sz w:val="23"/>
          <w:szCs w:val="23"/>
        </w:rPr>
        <w:t xml:space="preserve">§ 4. Pracodawca żąda podania innych danych osobowych niż określone w § 1 i 3, gdy jest to niezbędne do zrealizowania uprawnienia lub spełnienia obowiązku wynikającego z przepisu prawa. </w:t>
      </w:r>
    </w:p>
    <w:p w:rsidR="00E41A09" w:rsidRDefault="00E41A09" w:rsidP="00E41A09">
      <w:pPr>
        <w:pStyle w:val="Default"/>
        <w:rPr>
          <w:color w:val="auto"/>
          <w:sz w:val="23"/>
          <w:szCs w:val="23"/>
        </w:rPr>
      </w:pPr>
      <w:r>
        <w:rPr>
          <w:color w:val="auto"/>
          <w:sz w:val="23"/>
          <w:szCs w:val="23"/>
        </w:rPr>
        <w:t xml:space="preserve">§ 5. Udostępnienie pracodawcy danych osobowych następuje w formie oświadczenia osoby, której dane dotyczą. Pracodawca może żądać udokumentowania danych osobowych osób, o których mowa w § 1 i 3, w zakresie niezbędnym do ich potwierdzenia. </w:t>
      </w:r>
    </w:p>
    <w:p w:rsidR="00E41A09" w:rsidRDefault="00E41A09" w:rsidP="00E41A09">
      <w:pPr>
        <w:pStyle w:val="Default"/>
        <w:rPr>
          <w:color w:val="auto"/>
          <w:sz w:val="23"/>
          <w:szCs w:val="23"/>
        </w:rPr>
      </w:pPr>
      <w:r>
        <w:rPr>
          <w:b/>
          <w:bCs/>
          <w:color w:val="auto"/>
          <w:sz w:val="23"/>
          <w:szCs w:val="23"/>
        </w:rPr>
        <w:t>Art. 22</w:t>
      </w:r>
      <w:r>
        <w:rPr>
          <w:b/>
          <w:bCs/>
          <w:color w:val="auto"/>
          <w:sz w:val="16"/>
          <w:szCs w:val="16"/>
        </w:rPr>
        <w:t>1a</w:t>
      </w:r>
      <w:r>
        <w:rPr>
          <w:b/>
          <w:bCs/>
          <w:color w:val="auto"/>
          <w:sz w:val="23"/>
          <w:szCs w:val="23"/>
        </w:rPr>
        <w:t xml:space="preserve">. </w:t>
      </w:r>
      <w:r>
        <w:rPr>
          <w:color w:val="auto"/>
          <w:sz w:val="23"/>
          <w:szCs w:val="23"/>
        </w:rPr>
        <w:t>§ 1. Zgoda osoby ubiegającej się o zatrudnienie lub pracownika może stanowić podstawę przetwarzania przez pracodawcę innych danych osobowych niż wymienione w art. 22</w:t>
      </w:r>
      <w:r>
        <w:rPr>
          <w:color w:val="auto"/>
          <w:sz w:val="16"/>
          <w:szCs w:val="16"/>
        </w:rPr>
        <w:t xml:space="preserve">1 </w:t>
      </w:r>
      <w:r>
        <w:rPr>
          <w:color w:val="auto"/>
          <w:sz w:val="23"/>
          <w:szCs w:val="23"/>
        </w:rPr>
        <w:t>§ 1 i 3, z wyjątkiem danych osobowych, o których mowa w art. 10 rozporządzenia Parlamentu Europejskiego i Rady (UE) 2016/679 z dnia 27 kwietnia 2016 r. w sprawie ochrony osób fizycznych w związku z przetwarzaniem danych osobowych i w sprawie swobodnego przepływu takich danych oraz uchylenia</w:t>
      </w:r>
      <w:r>
        <w:rPr>
          <w:color w:val="auto"/>
          <w:sz w:val="23"/>
          <w:szCs w:val="23"/>
        </w:rPr>
        <w:t xml:space="preserve"> </w:t>
      </w:r>
      <w:r>
        <w:rPr>
          <w:color w:val="auto"/>
          <w:sz w:val="23"/>
          <w:szCs w:val="23"/>
        </w:rPr>
        <w:t xml:space="preserve">dyrektywy 95/46/WE (ogólne rozporządzenie o ochronie danych) (Dz. Urz. UE L 119 z 04.05.2016, str. 1, z </w:t>
      </w:r>
      <w:proofErr w:type="spellStart"/>
      <w:r>
        <w:rPr>
          <w:color w:val="auto"/>
          <w:sz w:val="23"/>
          <w:szCs w:val="23"/>
        </w:rPr>
        <w:t>późn</w:t>
      </w:r>
      <w:proofErr w:type="spellEnd"/>
      <w:r>
        <w:rPr>
          <w:color w:val="auto"/>
          <w:sz w:val="23"/>
          <w:szCs w:val="23"/>
        </w:rPr>
        <w:t>. zm.</w:t>
      </w:r>
      <w:r>
        <w:rPr>
          <w:color w:val="auto"/>
          <w:sz w:val="16"/>
          <w:szCs w:val="16"/>
        </w:rPr>
        <w:t>2)</w:t>
      </w:r>
      <w:r>
        <w:rPr>
          <w:color w:val="auto"/>
          <w:sz w:val="23"/>
          <w:szCs w:val="23"/>
        </w:rPr>
        <w:t xml:space="preserve">), zwanego dalej „rozporządzeniem 2016/679”. </w:t>
      </w:r>
      <w:r>
        <w:rPr>
          <w:sz w:val="20"/>
          <w:szCs w:val="20"/>
        </w:rPr>
        <w:t xml:space="preserve"> </w:t>
      </w:r>
    </w:p>
    <w:p w:rsidR="00E41A09" w:rsidRDefault="00E41A09" w:rsidP="00E41A09">
      <w:pPr>
        <w:pStyle w:val="Default"/>
        <w:rPr>
          <w:color w:val="auto"/>
          <w:sz w:val="23"/>
          <w:szCs w:val="23"/>
        </w:rPr>
      </w:pPr>
      <w:r>
        <w:rPr>
          <w:color w:val="auto"/>
          <w:sz w:val="23"/>
          <w:szCs w:val="23"/>
        </w:rPr>
        <w:t xml:space="preserve">§ 2. Brak zgody, o której mowa w § 1, lub jej wycofanie, nie może być podstawą niekorzystnego traktowania osoby ubiegającej się o zatrudnienie lub pracownika, a także nie może powodować wobec nich jakichkolwiek negatywnych konsekwencji, zwłaszcza nie może stanowić przyczyny uzasadniającej odmowę zatrudnienia, wypowiedzenie umowy o pracę lub jej rozwiązanie bez wypowiedzenia przez pracodawcę. </w:t>
      </w:r>
    </w:p>
    <w:p w:rsidR="00E41A09" w:rsidRDefault="00E41A09" w:rsidP="00E41A09">
      <w:pPr>
        <w:pStyle w:val="Default"/>
        <w:rPr>
          <w:color w:val="auto"/>
          <w:sz w:val="23"/>
          <w:szCs w:val="23"/>
        </w:rPr>
      </w:pPr>
      <w:r>
        <w:rPr>
          <w:color w:val="auto"/>
          <w:sz w:val="23"/>
          <w:szCs w:val="23"/>
        </w:rPr>
        <w:t xml:space="preserve">§ 3. Przetwarzanie, o którym mowa w § 1, dotyczy danych osobowych udostępnianych przez osobę ubiegającą się o zatrudnienie lub pracownika na wniosek pracodawcy lub danych osobowych przekazanych pracodawcy z inicjatywy osoby ubiegającej się o zatrudnienie lub pracownika. </w:t>
      </w:r>
    </w:p>
    <w:p w:rsidR="00E41A09" w:rsidRDefault="00E41A09" w:rsidP="00E41A09">
      <w:pPr>
        <w:pStyle w:val="Default"/>
        <w:rPr>
          <w:color w:val="auto"/>
          <w:sz w:val="23"/>
          <w:szCs w:val="23"/>
        </w:rPr>
      </w:pPr>
      <w:r>
        <w:rPr>
          <w:b/>
          <w:bCs/>
          <w:color w:val="auto"/>
          <w:sz w:val="23"/>
          <w:szCs w:val="23"/>
        </w:rPr>
        <w:t>Art. 22</w:t>
      </w:r>
      <w:r>
        <w:rPr>
          <w:b/>
          <w:bCs/>
          <w:color w:val="auto"/>
          <w:sz w:val="16"/>
          <w:szCs w:val="16"/>
        </w:rPr>
        <w:t>1b</w:t>
      </w:r>
      <w:r>
        <w:rPr>
          <w:b/>
          <w:bCs/>
          <w:color w:val="auto"/>
          <w:sz w:val="23"/>
          <w:szCs w:val="23"/>
        </w:rPr>
        <w:t xml:space="preserve">. </w:t>
      </w:r>
      <w:r>
        <w:rPr>
          <w:color w:val="auto"/>
          <w:sz w:val="23"/>
          <w:szCs w:val="23"/>
        </w:rPr>
        <w:t>§ 1. Zgoda osoby ubiegającej się o zatrudnienie lub pracownika może stanowić podstawę przetwarzania przez pracodawcę danych osobowych, o których mowa w art. 9 ust. 1 rozporządzenia 2016/679, wyłącznie w przypadku, gdy przekazanie tych danych osobowych następuje z inicjatywy osoby ubiegającej się o zatrudnienie lub pracownika. Przepis art. 22</w:t>
      </w:r>
      <w:r>
        <w:rPr>
          <w:color w:val="auto"/>
          <w:sz w:val="16"/>
          <w:szCs w:val="16"/>
        </w:rPr>
        <w:t xml:space="preserve">1a </w:t>
      </w:r>
      <w:r>
        <w:rPr>
          <w:color w:val="auto"/>
          <w:sz w:val="23"/>
          <w:szCs w:val="23"/>
        </w:rPr>
        <w:t xml:space="preserve">§ 2 stosuje się odpowiednio. </w:t>
      </w:r>
    </w:p>
    <w:p w:rsidR="00E41A09" w:rsidRDefault="00E41A09" w:rsidP="00E41A09">
      <w:pPr>
        <w:pStyle w:val="Default"/>
        <w:rPr>
          <w:color w:val="auto"/>
          <w:sz w:val="23"/>
          <w:szCs w:val="23"/>
        </w:rPr>
      </w:pPr>
      <w:r>
        <w:rPr>
          <w:color w:val="auto"/>
          <w:sz w:val="23"/>
          <w:szCs w:val="23"/>
        </w:rPr>
        <w:lastRenderedPageBreak/>
        <w:t xml:space="preserve">§ 2. Przetwarzanie danych biometrycznych pracownika jest dopuszczalne także wtedy, gdy podanie takich danych jest niezbędne ze względu na kontrolę dostępu do szczególnie ważnych informacji, których ujawnienie może narazić pracodawcę na szkodę, lub dostępu do pomieszczeń wymagających szczególnej ochrony. </w:t>
      </w:r>
    </w:p>
    <w:p w:rsidR="00E41A09" w:rsidRDefault="00E41A09" w:rsidP="00E41A09">
      <w:pPr>
        <w:pStyle w:val="Default"/>
        <w:rPr>
          <w:color w:val="auto"/>
          <w:sz w:val="23"/>
          <w:szCs w:val="23"/>
        </w:rPr>
      </w:pPr>
      <w:r>
        <w:rPr>
          <w:color w:val="auto"/>
          <w:sz w:val="23"/>
          <w:szCs w:val="23"/>
        </w:rPr>
        <w:t xml:space="preserve">§ 3. Do przetwarzania danych osobowych, o których mowa w § 1, mogą być dopuszczone wyłącznie osoby posiadające pisemne upoważnienie do przetwarzania takich danych wydane przez pracodawcę. Osoby dopuszczone do przetwarzania takich danych są obowiązane do zachowania ich w tajemnicy. </w:t>
      </w:r>
    </w:p>
    <w:p w:rsidR="00E41A09" w:rsidRDefault="00E41A09" w:rsidP="00E41A09">
      <w:pPr>
        <w:pStyle w:val="Default"/>
        <w:rPr>
          <w:color w:val="auto"/>
          <w:sz w:val="23"/>
          <w:szCs w:val="23"/>
        </w:rPr>
      </w:pPr>
      <w:r>
        <w:rPr>
          <w:b/>
          <w:bCs/>
          <w:color w:val="auto"/>
          <w:sz w:val="23"/>
          <w:szCs w:val="23"/>
        </w:rPr>
        <w:t>Art. 22</w:t>
      </w:r>
      <w:r>
        <w:rPr>
          <w:b/>
          <w:bCs/>
          <w:color w:val="auto"/>
          <w:sz w:val="16"/>
          <w:szCs w:val="16"/>
        </w:rPr>
        <w:t>2</w:t>
      </w:r>
      <w:r>
        <w:rPr>
          <w:b/>
          <w:bCs/>
          <w:color w:val="auto"/>
          <w:sz w:val="23"/>
          <w:szCs w:val="23"/>
        </w:rPr>
        <w:t xml:space="preserve">. </w:t>
      </w:r>
      <w:r>
        <w:rPr>
          <w:color w:val="auto"/>
          <w:sz w:val="23"/>
          <w:szCs w:val="23"/>
        </w:rPr>
        <w:t xml:space="preserve">§ 1. Jeżeli jest to niezbędne do zapewnienia bezpieczeństwa pracowników lub ochrony mienia lub kontroli produkcji lub zachowania w tajemnicy informacji, których ujawnienie mogłoby narazić pracodawcę na szkodę, pracodawca może wprowadzić szczególny nadzór nad terenem zakładu pracy lub terenem wokół zakładu pracy w postaci środków technicznych umożliwiających rejestrację obrazu (monitoring). </w:t>
      </w:r>
    </w:p>
    <w:p w:rsidR="00E41A09" w:rsidRDefault="00E41A09" w:rsidP="00E41A09">
      <w:pPr>
        <w:pStyle w:val="Default"/>
        <w:rPr>
          <w:color w:val="auto"/>
          <w:sz w:val="23"/>
          <w:szCs w:val="23"/>
        </w:rPr>
      </w:pPr>
      <w:r>
        <w:rPr>
          <w:color w:val="auto"/>
          <w:sz w:val="23"/>
          <w:szCs w:val="23"/>
        </w:rPr>
        <w:t>§ 1</w:t>
      </w:r>
      <w:r>
        <w:rPr>
          <w:color w:val="auto"/>
          <w:sz w:val="16"/>
          <w:szCs w:val="16"/>
        </w:rPr>
        <w:t>1</w:t>
      </w:r>
      <w:r>
        <w:rPr>
          <w:color w:val="auto"/>
          <w:sz w:val="23"/>
          <w:szCs w:val="23"/>
        </w:rPr>
        <w:t xml:space="preserve">. Monitoring nie obejmuje pomieszczeń udostępnianych zakładowej organizacji związkowej. </w:t>
      </w:r>
    </w:p>
    <w:p w:rsidR="00E41A09" w:rsidRDefault="00E41A09" w:rsidP="00E41A09">
      <w:pPr>
        <w:pStyle w:val="Default"/>
        <w:rPr>
          <w:color w:val="auto"/>
          <w:sz w:val="23"/>
          <w:szCs w:val="23"/>
        </w:rPr>
      </w:pPr>
      <w:r>
        <w:rPr>
          <w:color w:val="auto"/>
          <w:sz w:val="23"/>
          <w:szCs w:val="23"/>
        </w:rPr>
        <w:t xml:space="preserve">§ 2. Monitoring nie obejmuje pomieszczeń sanitarnych, szatni, stołówek oraz palarni, chyba że stosowanie monitoringu w tych pomieszczeniach jest niezbędne do realizacji celu określonego w § 1 i nie naruszy to godności oraz innych dóbr osobistych pracownika, w szczególności poprzez zastosowanie technik uniemożliwiających rozpoznanie przebywających w tych pomieszczeniach osób. Monitoring pomieszczeń sanitarnych wymaga uzyskania uprzedniej zgody zakładowej organizacji związkowej, a jeżeli u pracodawcy nie działa zakładowa organizacja związkowa – uprzedniej zgody przedstawicieli pracowników wybranych w trybie przyjętym u danego pracodawcy. </w:t>
      </w:r>
    </w:p>
    <w:p w:rsidR="00E41A09" w:rsidRDefault="00E41A09" w:rsidP="00E41A09">
      <w:pPr>
        <w:pStyle w:val="Default"/>
        <w:rPr>
          <w:color w:val="auto"/>
          <w:sz w:val="23"/>
          <w:szCs w:val="23"/>
        </w:rPr>
      </w:pPr>
      <w:r>
        <w:rPr>
          <w:color w:val="auto"/>
          <w:sz w:val="23"/>
          <w:szCs w:val="23"/>
        </w:rPr>
        <w:t xml:space="preserve">§ 3. Nagrania obrazu pracodawca przetwarza wyłącznie do celów, dla których zostały zebrane, i przechowuje przez okres nieprzekraczający 3 miesięcy od dnia nagrania. </w:t>
      </w:r>
    </w:p>
    <w:p w:rsidR="00E41A09" w:rsidRDefault="00E41A09" w:rsidP="00E41A09">
      <w:pPr>
        <w:pStyle w:val="Default"/>
        <w:rPr>
          <w:color w:val="auto"/>
          <w:sz w:val="23"/>
          <w:szCs w:val="23"/>
        </w:rPr>
      </w:pPr>
      <w:r>
        <w:rPr>
          <w:color w:val="auto"/>
          <w:sz w:val="23"/>
          <w:szCs w:val="23"/>
        </w:rPr>
        <w:t xml:space="preserve">§ 4. W przypadku, w którym nagrania obrazu stanowią dowód w postępowaniu prowadzonym na podstawie prawa lub pracodawca powziął wiadomość, iż mogą one stanowić dowód w postępowaniu, termin określony w § 3 ulega przedłużeniu do czasu prawomocnego zakończenia postępowania. </w:t>
      </w:r>
    </w:p>
    <w:p w:rsidR="00E41A09" w:rsidRDefault="00E41A09" w:rsidP="00E41A09">
      <w:pPr>
        <w:pStyle w:val="Default"/>
        <w:rPr>
          <w:color w:val="auto"/>
          <w:sz w:val="23"/>
          <w:szCs w:val="23"/>
        </w:rPr>
      </w:pPr>
      <w:r>
        <w:rPr>
          <w:color w:val="auto"/>
          <w:sz w:val="23"/>
          <w:szCs w:val="23"/>
        </w:rPr>
        <w:t xml:space="preserve">§ 5. Po upływie okresów, o których mowa w § 3 lub 4, uzyskane w wyniku monitoringu nagrania obrazu zawierające dane osobowe podlegają zniszczeniu, o ile przepisy odrębne nie stanowią inaczej. </w:t>
      </w:r>
    </w:p>
    <w:p w:rsidR="00E41A09" w:rsidRDefault="00E41A09" w:rsidP="00E41A09">
      <w:pPr>
        <w:pStyle w:val="Default"/>
        <w:rPr>
          <w:color w:val="auto"/>
          <w:sz w:val="23"/>
          <w:szCs w:val="23"/>
        </w:rPr>
      </w:pPr>
      <w:r>
        <w:rPr>
          <w:color w:val="auto"/>
          <w:sz w:val="23"/>
          <w:szCs w:val="23"/>
        </w:rPr>
        <w:t xml:space="preserve">§ 6. Cele, zakres oraz sposób zastosowania monitoringu ustala się w układzie zbiorowym pracy lub w regulaminie pracy albo w obwieszczeniu, jeżeli pracodawca nie jest objęty układem zbiorowym pracy lub nie jest obowiązany do ustalenia regulaminu pracy. </w:t>
      </w:r>
    </w:p>
    <w:p w:rsidR="00E41A09" w:rsidRDefault="00E41A09" w:rsidP="00E41A09">
      <w:pPr>
        <w:pStyle w:val="Default"/>
        <w:rPr>
          <w:color w:val="auto"/>
          <w:sz w:val="23"/>
          <w:szCs w:val="23"/>
        </w:rPr>
      </w:pPr>
      <w:r>
        <w:rPr>
          <w:color w:val="auto"/>
          <w:sz w:val="23"/>
          <w:szCs w:val="23"/>
        </w:rPr>
        <w:t xml:space="preserve">§ 7. Pracodawca informuje pracowników o wprowadzeniu monitoringu, w sposób przyjęty u danego pracodawcy, nie później niż 2 tygodnie przed jego uruchomieniem. </w:t>
      </w:r>
    </w:p>
    <w:p w:rsidR="00E41A09" w:rsidRDefault="00E41A09" w:rsidP="00E41A09">
      <w:pPr>
        <w:pStyle w:val="Default"/>
        <w:rPr>
          <w:color w:val="auto"/>
          <w:sz w:val="23"/>
          <w:szCs w:val="23"/>
        </w:rPr>
      </w:pPr>
      <w:r>
        <w:rPr>
          <w:color w:val="auto"/>
          <w:sz w:val="23"/>
          <w:szCs w:val="23"/>
        </w:rPr>
        <w:t xml:space="preserve">§ 8. Pracodawca przed dopuszczeniem pracownika do pracy przekazuje mu na piśmie informacje, o których mowa w § 6. </w:t>
      </w:r>
    </w:p>
    <w:p w:rsidR="00E41A09" w:rsidRDefault="00E41A09" w:rsidP="00E41A09">
      <w:pPr>
        <w:pStyle w:val="Default"/>
        <w:rPr>
          <w:color w:val="auto"/>
          <w:sz w:val="23"/>
          <w:szCs w:val="23"/>
        </w:rPr>
      </w:pPr>
      <w:r>
        <w:rPr>
          <w:color w:val="auto"/>
          <w:sz w:val="23"/>
          <w:szCs w:val="23"/>
        </w:rPr>
        <w:t xml:space="preserve">§ 9. W przypadku wprowadzenia monitoringu pracodawca oznacza pomieszczenia i teren monitorowany w sposób widoczny i czytelny, za pomocą odpowiednich znaków lub ogłoszeń dźwiękowych, nie później niż jeden dzień przed jego uruchomieniem. </w:t>
      </w:r>
    </w:p>
    <w:p w:rsidR="00E41A09" w:rsidRDefault="00E41A09" w:rsidP="00E41A09">
      <w:pPr>
        <w:pStyle w:val="Default"/>
        <w:rPr>
          <w:color w:val="auto"/>
          <w:sz w:val="23"/>
          <w:szCs w:val="23"/>
        </w:rPr>
      </w:pPr>
      <w:r>
        <w:rPr>
          <w:color w:val="auto"/>
          <w:sz w:val="23"/>
          <w:szCs w:val="23"/>
        </w:rPr>
        <w:t xml:space="preserve">§ 10. Przepis § 9 nie narusza przepisów art. 12 i art. 13 rozporządzenia 2016/679. </w:t>
      </w:r>
    </w:p>
    <w:p w:rsidR="00E41A09" w:rsidRDefault="00E41A09" w:rsidP="00E41A09">
      <w:pPr>
        <w:pStyle w:val="Default"/>
        <w:rPr>
          <w:color w:val="auto"/>
          <w:sz w:val="23"/>
          <w:szCs w:val="23"/>
        </w:rPr>
      </w:pPr>
      <w:r>
        <w:rPr>
          <w:b/>
          <w:bCs/>
          <w:color w:val="auto"/>
          <w:sz w:val="23"/>
          <w:szCs w:val="23"/>
        </w:rPr>
        <w:t>Art. 22</w:t>
      </w:r>
      <w:r>
        <w:rPr>
          <w:b/>
          <w:bCs/>
          <w:color w:val="auto"/>
          <w:sz w:val="16"/>
          <w:szCs w:val="16"/>
        </w:rPr>
        <w:t>3</w:t>
      </w:r>
      <w:r>
        <w:rPr>
          <w:b/>
          <w:bCs/>
          <w:color w:val="auto"/>
          <w:sz w:val="23"/>
          <w:szCs w:val="23"/>
        </w:rPr>
        <w:t xml:space="preserve">. </w:t>
      </w:r>
      <w:r>
        <w:rPr>
          <w:color w:val="auto"/>
          <w:sz w:val="23"/>
          <w:szCs w:val="23"/>
        </w:rPr>
        <w:t xml:space="preserve">§ 1. Jeżeli jest to niezbędne do zapewnienia organizacji pracy umożliwiającej pełne wykorzystanie czasu pracy oraz właściwego użytkowania udostępnionych pracownikowi narzędzi pracy, pracodawca może wprowadzić kontrolę służbowej poczty elektronicznej pracownika (monitoring poczty elektronicznej). </w:t>
      </w:r>
    </w:p>
    <w:p w:rsidR="00E41A09" w:rsidRDefault="00E41A09" w:rsidP="00E41A09">
      <w:pPr>
        <w:pStyle w:val="Default"/>
        <w:rPr>
          <w:color w:val="auto"/>
          <w:sz w:val="23"/>
          <w:szCs w:val="23"/>
        </w:rPr>
      </w:pPr>
      <w:r>
        <w:rPr>
          <w:color w:val="auto"/>
          <w:sz w:val="23"/>
          <w:szCs w:val="23"/>
        </w:rPr>
        <w:t xml:space="preserve">§ 2. Monitoring poczty elektronicznej nie może naruszać tajemnicy korespondencji oraz innych dóbr osobistych pracownika. </w:t>
      </w:r>
    </w:p>
    <w:p w:rsidR="00E41A09" w:rsidRDefault="00E41A09" w:rsidP="00E41A09">
      <w:pPr>
        <w:pStyle w:val="Default"/>
        <w:rPr>
          <w:color w:val="auto"/>
          <w:sz w:val="23"/>
          <w:szCs w:val="23"/>
        </w:rPr>
      </w:pPr>
      <w:r>
        <w:rPr>
          <w:color w:val="auto"/>
          <w:sz w:val="23"/>
          <w:szCs w:val="23"/>
        </w:rPr>
        <w:t>§ 3. Przepisy art. 22</w:t>
      </w:r>
      <w:r>
        <w:rPr>
          <w:color w:val="auto"/>
          <w:sz w:val="16"/>
          <w:szCs w:val="16"/>
        </w:rPr>
        <w:t xml:space="preserve">2 </w:t>
      </w:r>
      <w:r>
        <w:rPr>
          <w:color w:val="auto"/>
          <w:sz w:val="23"/>
          <w:szCs w:val="23"/>
        </w:rPr>
        <w:t xml:space="preserve">§ 6–10 stosuje się odpowiednio. </w:t>
      </w:r>
    </w:p>
    <w:p w:rsidR="00F52770" w:rsidRDefault="00E41A09" w:rsidP="00E41A09">
      <w:r>
        <w:rPr>
          <w:sz w:val="23"/>
          <w:szCs w:val="23"/>
        </w:rPr>
        <w:t xml:space="preserve">§ 4. Przepisy § 1–3 stosuje się odpowiednio do innych form monitoringu niż określone w § 1, jeśli ich zastosowanie jest konieczne do </w:t>
      </w:r>
      <w:r>
        <w:rPr>
          <w:sz w:val="23"/>
          <w:szCs w:val="23"/>
        </w:rPr>
        <w:t>r</w:t>
      </w:r>
      <w:r>
        <w:rPr>
          <w:sz w:val="23"/>
          <w:szCs w:val="23"/>
        </w:rPr>
        <w:t xml:space="preserve">ealizacji </w:t>
      </w:r>
      <w:r>
        <w:rPr>
          <w:sz w:val="23"/>
          <w:szCs w:val="23"/>
        </w:rPr>
        <w:t xml:space="preserve">ww. </w:t>
      </w:r>
      <w:r>
        <w:rPr>
          <w:sz w:val="23"/>
          <w:szCs w:val="23"/>
        </w:rPr>
        <w:t>celów</w:t>
      </w:r>
      <w:r>
        <w:rPr>
          <w:sz w:val="23"/>
          <w:szCs w:val="23"/>
        </w:rPr>
        <w:t>.</w:t>
      </w:r>
    </w:p>
    <w:sectPr w:rsidR="00F52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MT"/>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09"/>
    <w:rsid w:val="00E41A09"/>
    <w:rsid w:val="00F5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41A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41A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1030</Words>
  <Characters>6184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dcterms:created xsi:type="dcterms:W3CDTF">2019-06-04T08:52:00Z</dcterms:created>
  <dcterms:modified xsi:type="dcterms:W3CDTF">2019-06-04T08:56:00Z</dcterms:modified>
</cp:coreProperties>
</file>