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2A126" w14:textId="6A385D2A" w:rsidR="00125456" w:rsidRPr="000E10AD" w:rsidRDefault="006F619D">
      <w:pPr>
        <w:rPr>
          <w:i/>
          <w:lang w:val="en-GB"/>
        </w:rPr>
      </w:pPr>
      <w:r w:rsidRPr="0009423A">
        <w:rPr>
          <w:i/>
          <w:lang w:val="en-GB"/>
        </w:rPr>
        <w:t xml:space="preserve">Facts of the case – </w:t>
      </w:r>
      <w:r w:rsidR="00A27825">
        <w:rPr>
          <w:i/>
          <w:lang w:val="en-GB"/>
        </w:rPr>
        <w:t xml:space="preserve">Finally, </w:t>
      </w:r>
      <w:r w:rsidRPr="0009423A">
        <w:rPr>
          <w:i/>
          <w:lang w:val="en-GB"/>
        </w:rPr>
        <w:t>a</w:t>
      </w:r>
      <w:r w:rsidR="00A27825">
        <w:rPr>
          <w:i/>
          <w:lang w:val="en-GB"/>
        </w:rPr>
        <w:t xml:space="preserve"> Criminal Case</w:t>
      </w:r>
      <w:r w:rsidR="00125456">
        <w:rPr>
          <w:i/>
          <w:lang w:val="en-GB"/>
        </w:rPr>
        <w:t>!</w:t>
      </w:r>
    </w:p>
    <w:p w14:paraId="18ECA6FB" w14:textId="42AD3752" w:rsidR="00A27825" w:rsidRDefault="00745CBD" w:rsidP="00AF7D00">
      <w:pPr>
        <w:jc w:val="both"/>
        <w:rPr>
          <w:lang w:val="en-GB"/>
        </w:rPr>
      </w:pPr>
      <w:r>
        <w:rPr>
          <w:lang w:val="en-GB"/>
        </w:rPr>
        <w:t>Defendant</w:t>
      </w:r>
      <w:r w:rsidR="00125456">
        <w:rPr>
          <w:lang w:val="en-GB"/>
        </w:rPr>
        <w:t xml:space="preserve"> in a criminal trial, Mr A, has been accused</w:t>
      </w:r>
      <w:r w:rsidR="00B331C7">
        <w:rPr>
          <w:lang w:val="en-GB"/>
        </w:rPr>
        <w:t xml:space="preserve"> by State B’s </w:t>
      </w:r>
      <w:r w:rsidR="00B93D71">
        <w:rPr>
          <w:lang w:val="en-GB"/>
        </w:rPr>
        <w:t>Office of the Prosecutor-General</w:t>
      </w:r>
      <w:r w:rsidR="00125456">
        <w:rPr>
          <w:lang w:val="en-GB"/>
        </w:rPr>
        <w:t xml:space="preserve"> of directing</w:t>
      </w:r>
      <w:r w:rsidR="00E22F2E">
        <w:rPr>
          <w:lang w:val="en-GB"/>
        </w:rPr>
        <w:t xml:space="preserve"> a genocide</w:t>
      </w:r>
      <w:r w:rsidR="000F2B09">
        <w:rPr>
          <w:lang w:val="en-GB"/>
        </w:rPr>
        <w:t>.</w:t>
      </w:r>
      <w:r w:rsidR="00C57BFD">
        <w:rPr>
          <w:lang w:val="en-GB"/>
        </w:rPr>
        <w:t xml:space="preserve"> Mr A has been held in </w:t>
      </w:r>
      <w:r w:rsidR="000B027C">
        <w:rPr>
          <w:lang w:val="en-GB"/>
        </w:rPr>
        <w:t xml:space="preserve">temporary detention for the entirety of his trial. </w:t>
      </w:r>
      <w:r w:rsidR="00430BBF">
        <w:rPr>
          <w:lang w:val="en-GB"/>
        </w:rPr>
        <w:t>He was convicted in 2016, but a part of this conviction</w:t>
      </w:r>
      <w:r w:rsidR="001E18C8">
        <w:rPr>
          <w:lang w:val="en-GB"/>
        </w:rPr>
        <w:t>, yet not all of it,</w:t>
      </w:r>
      <w:r w:rsidR="00430BBF">
        <w:rPr>
          <w:lang w:val="en-GB"/>
        </w:rPr>
        <w:t xml:space="preserve"> was overturned on appeal on grounds that</w:t>
      </w:r>
      <w:r w:rsidR="001E18C8">
        <w:rPr>
          <w:lang w:val="en-GB"/>
        </w:rPr>
        <w:t xml:space="preserve"> Mr A was not allowed to cross-examine witnesses.</w:t>
      </w:r>
      <w:r w:rsidR="00060CC3">
        <w:rPr>
          <w:lang w:val="en-GB"/>
        </w:rPr>
        <w:t xml:space="preserve"> He was convicted</w:t>
      </w:r>
      <w:r w:rsidR="00E851B9">
        <w:rPr>
          <w:lang w:val="en-GB"/>
        </w:rPr>
        <w:t xml:space="preserve"> again at first instance and sentenced for 40 years of imprisonment. He appealed (the prosecution did not)</w:t>
      </w:r>
      <w:r w:rsidR="00AF7D00">
        <w:rPr>
          <w:lang w:val="en-GB"/>
        </w:rPr>
        <w:t>, but the court of appeal increased his sentence to imprisonment for life.</w:t>
      </w:r>
      <w:r w:rsidR="00590ED8">
        <w:rPr>
          <w:lang w:val="en-GB"/>
        </w:rPr>
        <w:t xml:space="preserve"> The courts that were doing the sentencing </w:t>
      </w:r>
      <w:r w:rsidR="0002089A">
        <w:rPr>
          <w:lang w:val="en-GB"/>
        </w:rPr>
        <w:t>have been set up ad hoc</w:t>
      </w:r>
      <w:r w:rsidR="000052E9">
        <w:rPr>
          <w:lang w:val="en-GB"/>
        </w:rPr>
        <w:t xml:space="preserve"> under the auspices of the UN</w:t>
      </w:r>
      <w:r w:rsidR="0002089A">
        <w:rPr>
          <w:lang w:val="en-GB"/>
        </w:rPr>
        <w:t xml:space="preserve">, outside the </w:t>
      </w:r>
      <w:r w:rsidR="006144B2">
        <w:rPr>
          <w:lang w:val="en-GB"/>
        </w:rPr>
        <w:t>ordinary courts of B.</w:t>
      </w:r>
    </w:p>
    <w:p w14:paraId="4C6A954C" w14:textId="0FE70379" w:rsidR="000052E9" w:rsidRDefault="000052E9" w:rsidP="00AF7D00">
      <w:pPr>
        <w:jc w:val="both"/>
        <w:rPr>
          <w:lang w:val="en-GB"/>
        </w:rPr>
      </w:pPr>
      <w:hyperlink r:id="rId5" w:history="1">
        <w:r w:rsidRPr="00EE6875">
          <w:rPr>
            <w:rStyle w:val="Hipercze"/>
            <w:lang w:val="en-GB"/>
          </w:rPr>
          <w:t>https://www.theguardian.com/law/2019/mar/20/radovan-karadzic-faces-final-verdict-in-bosnia-war-crimes-case</w:t>
        </w:r>
      </w:hyperlink>
      <w:r>
        <w:rPr>
          <w:lang w:val="en-GB"/>
        </w:rPr>
        <w:t xml:space="preserve"> </w:t>
      </w:r>
    </w:p>
    <w:p w14:paraId="2AE58B84" w14:textId="40EA6D4F" w:rsidR="006F5BB0" w:rsidRDefault="006F5BB0">
      <w:pPr>
        <w:rPr>
          <w:lang w:val="en-GB"/>
        </w:rPr>
      </w:pPr>
      <w:r>
        <w:rPr>
          <w:lang w:val="en-GB"/>
        </w:rPr>
        <w:t xml:space="preserve">Team </w:t>
      </w:r>
      <w:r w:rsidR="00A356FF">
        <w:rPr>
          <w:lang w:val="en-GB"/>
        </w:rPr>
        <w:t>One</w:t>
      </w:r>
      <w:r>
        <w:rPr>
          <w:lang w:val="en-GB"/>
        </w:rPr>
        <w:t xml:space="preserve"> : for the applicant</w:t>
      </w:r>
      <w:r w:rsidR="000E10AD">
        <w:rPr>
          <w:lang w:val="en-GB"/>
        </w:rPr>
        <w:t xml:space="preserve">; </w:t>
      </w:r>
      <w:r>
        <w:rPr>
          <w:lang w:val="en-GB"/>
        </w:rPr>
        <w:t xml:space="preserve">Team </w:t>
      </w:r>
      <w:r w:rsidR="00A356FF">
        <w:rPr>
          <w:lang w:val="en-GB"/>
        </w:rPr>
        <w:t>Two</w:t>
      </w:r>
      <w:r>
        <w:rPr>
          <w:lang w:val="en-GB"/>
        </w:rPr>
        <w:t xml:space="preserve"> : for </w:t>
      </w:r>
      <w:r w:rsidR="00C57BFD">
        <w:rPr>
          <w:lang w:val="en-GB"/>
        </w:rPr>
        <w:t>State B</w:t>
      </w:r>
    </w:p>
    <w:p w14:paraId="6D6220DF" w14:textId="3FFBFA33" w:rsidR="006F5BB0" w:rsidRDefault="006F5BB0">
      <w:pPr>
        <w:rPr>
          <w:i/>
          <w:lang w:val="en-GB"/>
        </w:rPr>
      </w:pPr>
      <w:r>
        <w:rPr>
          <w:i/>
          <w:lang w:val="en-GB"/>
        </w:rPr>
        <w:t>Additional data for the Court to write in :</w:t>
      </w:r>
    </w:p>
    <w:p w14:paraId="45C37697" w14:textId="32F1C525" w:rsidR="006F5BB0" w:rsidRDefault="006F5BB0">
      <w:pPr>
        <w:rPr>
          <w:i/>
          <w:lang w:val="en-GB"/>
        </w:rPr>
      </w:pPr>
      <w:r>
        <w:rPr>
          <w:i/>
          <w:lang w:val="en-GB"/>
        </w:rPr>
        <w:t>……………</w:t>
      </w:r>
    </w:p>
    <w:p w14:paraId="74696715" w14:textId="77777777" w:rsidR="000E10AD" w:rsidRDefault="000E10AD" w:rsidP="000E10AD">
      <w:pPr>
        <w:jc w:val="both"/>
        <w:rPr>
          <w:lang w:val="en-GB"/>
        </w:rPr>
      </w:pPr>
      <w:r>
        <w:rPr>
          <w:lang w:val="en-GB"/>
        </w:rPr>
        <w:t>Overview</w:t>
      </w:r>
    </w:p>
    <w:p w14:paraId="0AA480CD" w14:textId="77777777" w:rsidR="000E10AD" w:rsidRDefault="000E10AD" w:rsidP="000E10AD">
      <w:pPr>
        <w:pStyle w:val="Akapitzlist"/>
        <w:numPr>
          <w:ilvl w:val="0"/>
          <w:numId w:val="1"/>
        </w:numPr>
        <w:jc w:val="both"/>
        <w:rPr>
          <w:i/>
          <w:lang w:val="en-GB"/>
        </w:rPr>
      </w:pPr>
      <w:r>
        <w:rPr>
          <w:i/>
          <w:lang w:val="en-GB"/>
        </w:rPr>
        <w:t>Case research</w:t>
      </w:r>
    </w:p>
    <w:p w14:paraId="63EDE8CD" w14:textId="77777777" w:rsidR="000E10AD" w:rsidRDefault="000E10AD" w:rsidP="000E10AD">
      <w:pPr>
        <w:jc w:val="both"/>
        <w:rPr>
          <w:i/>
          <w:lang w:val="en-GB"/>
        </w:rPr>
      </w:pPr>
      <w:r>
        <w:rPr>
          <w:i/>
          <w:lang w:val="en-GB"/>
        </w:rPr>
        <w:t>Written procedure</w:t>
      </w:r>
    </w:p>
    <w:p w14:paraId="3908E062" w14:textId="77777777" w:rsidR="000E10AD" w:rsidRDefault="000E10AD" w:rsidP="000E10AD">
      <w:pPr>
        <w:pStyle w:val="Akapitzlist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Team one prepares an application</w:t>
      </w:r>
    </w:p>
    <w:p w14:paraId="2494D643" w14:textId="77777777" w:rsidR="000E10AD" w:rsidRDefault="000E10AD" w:rsidP="000E10AD">
      <w:pPr>
        <w:pStyle w:val="Akapitzlist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Team one prepares a response</w:t>
      </w:r>
    </w:p>
    <w:p w14:paraId="7CEC86D4" w14:textId="77777777" w:rsidR="000E10AD" w:rsidRDefault="000E10AD" w:rsidP="000E10AD">
      <w:pPr>
        <w:jc w:val="both"/>
        <w:rPr>
          <w:i/>
          <w:lang w:val="en-GB"/>
        </w:rPr>
      </w:pPr>
      <w:r>
        <w:rPr>
          <w:i/>
          <w:lang w:val="en-GB"/>
        </w:rPr>
        <w:t>Written procedure, if the judicial panel so directs</w:t>
      </w:r>
    </w:p>
    <w:p w14:paraId="18FD5F97" w14:textId="77777777" w:rsidR="000E10AD" w:rsidRDefault="000E10AD" w:rsidP="000E10AD">
      <w:pPr>
        <w:pStyle w:val="Akapitzlist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Team one prepares a short rebuttal</w:t>
      </w:r>
    </w:p>
    <w:p w14:paraId="4B48DEF9" w14:textId="77777777" w:rsidR="000E10AD" w:rsidRDefault="000E10AD" w:rsidP="000E10AD">
      <w:pPr>
        <w:pStyle w:val="Akapitzlist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Team two prepares a short rejoinder</w:t>
      </w:r>
    </w:p>
    <w:p w14:paraId="459EDC5C" w14:textId="77777777" w:rsidR="000E10AD" w:rsidRDefault="000E10AD" w:rsidP="000E10AD">
      <w:pPr>
        <w:jc w:val="both"/>
        <w:rPr>
          <w:i/>
          <w:lang w:val="en-GB"/>
        </w:rPr>
      </w:pPr>
      <w:r>
        <w:rPr>
          <w:i/>
          <w:lang w:val="en-GB"/>
        </w:rPr>
        <w:t>Oral procedure</w:t>
      </w:r>
    </w:p>
    <w:p w14:paraId="7A789075" w14:textId="77777777" w:rsidR="000E10AD" w:rsidRDefault="000E10AD" w:rsidP="000E10AD">
      <w:pPr>
        <w:pStyle w:val="Akapitzlist"/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>Team One presents an argument</w:t>
      </w:r>
    </w:p>
    <w:p w14:paraId="7E4ACCF0" w14:textId="77777777" w:rsidR="000E10AD" w:rsidRDefault="000E10AD" w:rsidP="000E10AD">
      <w:pPr>
        <w:pStyle w:val="Akapitzlist"/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>Team Two presents a defence</w:t>
      </w:r>
    </w:p>
    <w:p w14:paraId="16A51DE2" w14:textId="77777777" w:rsidR="000E10AD" w:rsidRDefault="000E10AD" w:rsidP="000E10AD">
      <w:pPr>
        <w:jc w:val="both"/>
        <w:rPr>
          <w:lang w:val="en-GB"/>
        </w:rPr>
      </w:pPr>
      <w:r>
        <w:rPr>
          <w:i/>
          <w:lang w:val="en-GB"/>
        </w:rPr>
        <w:t>Further oral argument, if the judicial panel so directs</w:t>
      </w:r>
    </w:p>
    <w:p w14:paraId="577822F8" w14:textId="77777777" w:rsidR="000E10AD" w:rsidRDefault="000E10AD" w:rsidP="000E10AD">
      <w:pPr>
        <w:pStyle w:val="Akapitzlist"/>
        <w:numPr>
          <w:ilvl w:val="0"/>
          <w:numId w:val="4"/>
        </w:numPr>
        <w:jc w:val="both"/>
        <w:rPr>
          <w:lang w:val="en-GB"/>
        </w:rPr>
      </w:pPr>
      <w:r>
        <w:rPr>
          <w:lang w:val="en-GB"/>
        </w:rPr>
        <w:t>Additional closing arguments by Team One and Team Two</w:t>
      </w:r>
    </w:p>
    <w:p w14:paraId="2700B3E8" w14:textId="2C7CECF5" w:rsidR="00023A64" w:rsidRDefault="000E10AD" w:rsidP="000E10AD">
      <w:pPr>
        <w:jc w:val="both"/>
        <w:rPr>
          <w:lang w:val="en-GB"/>
        </w:rPr>
      </w:pPr>
      <w:r>
        <w:rPr>
          <w:lang w:val="en-GB"/>
        </w:rPr>
        <w:t>Judicial panel gives oral reasons for its decision and writes a legal opinion on the issue</w:t>
      </w:r>
    </w:p>
    <w:p w14:paraId="4F9B4F17" w14:textId="2CBFF5C5" w:rsidR="000052E9" w:rsidRPr="000052E9" w:rsidRDefault="000052E9" w:rsidP="000E10AD">
      <w:pPr>
        <w:jc w:val="both"/>
        <w:rPr>
          <w:i/>
          <w:lang w:val="en-GB"/>
        </w:rPr>
      </w:pPr>
      <w:r>
        <w:rPr>
          <w:i/>
          <w:lang w:val="en-GB"/>
        </w:rPr>
        <w:t xml:space="preserve">The Court may let </w:t>
      </w:r>
      <w:r w:rsidR="0003246C">
        <w:rPr>
          <w:i/>
          <w:lang w:val="en-GB"/>
        </w:rPr>
        <w:t>one counsel at a time to inspect legal resources provided at trial.</w:t>
      </w:r>
      <w:bookmarkStart w:id="0" w:name="_GoBack"/>
      <w:bookmarkEnd w:id="0"/>
    </w:p>
    <w:sectPr w:rsidR="000052E9" w:rsidRPr="000052E9" w:rsidSect="00316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D2109"/>
    <w:multiLevelType w:val="hybridMultilevel"/>
    <w:tmpl w:val="38187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25A5B"/>
    <w:multiLevelType w:val="hybridMultilevel"/>
    <w:tmpl w:val="53DED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720D6"/>
    <w:multiLevelType w:val="hybridMultilevel"/>
    <w:tmpl w:val="ADECD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50E66"/>
    <w:multiLevelType w:val="hybridMultilevel"/>
    <w:tmpl w:val="3CFC0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5C7"/>
    <w:rsid w:val="000052E9"/>
    <w:rsid w:val="0002089A"/>
    <w:rsid w:val="00023A64"/>
    <w:rsid w:val="0003246C"/>
    <w:rsid w:val="00060CC3"/>
    <w:rsid w:val="0009423A"/>
    <w:rsid w:val="000B027C"/>
    <w:rsid w:val="000E10AD"/>
    <w:rsid w:val="000F2B09"/>
    <w:rsid w:val="00125456"/>
    <w:rsid w:val="001E18C8"/>
    <w:rsid w:val="002A59EA"/>
    <w:rsid w:val="00316644"/>
    <w:rsid w:val="003B5F93"/>
    <w:rsid w:val="00430BBF"/>
    <w:rsid w:val="00552346"/>
    <w:rsid w:val="00590ED8"/>
    <w:rsid w:val="006144B2"/>
    <w:rsid w:val="006A35C6"/>
    <w:rsid w:val="006F5BB0"/>
    <w:rsid w:val="006F619D"/>
    <w:rsid w:val="00713224"/>
    <w:rsid w:val="00745CBD"/>
    <w:rsid w:val="007B5060"/>
    <w:rsid w:val="009841AE"/>
    <w:rsid w:val="009D5845"/>
    <w:rsid w:val="00A27825"/>
    <w:rsid w:val="00A356FF"/>
    <w:rsid w:val="00A46194"/>
    <w:rsid w:val="00A80C26"/>
    <w:rsid w:val="00A851CA"/>
    <w:rsid w:val="00AF7D00"/>
    <w:rsid w:val="00B0527A"/>
    <w:rsid w:val="00B331C7"/>
    <w:rsid w:val="00B84AD3"/>
    <w:rsid w:val="00B93D71"/>
    <w:rsid w:val="00BC155D"/>
    <w:rsid w:val="00C57BFD"/>
    <w:rsid w:val="00D87847"/>
    <w:rsid w:val="00DB05C7"/>
    <w:rsid w:val="00E22F2E"/>
    <w:rsid w:val="00E8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E7BC1B"/>
  <w15:chartTrackingRefBased/>
  <w15:docId w15:val="{16B8339C-39C9-465D-9C3E-DD655337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0C2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0C2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E10A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5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heguardian.com/law/2019/mar/20/radovan-karadzic-faces-final-verdict-in-bosnia-war-crimes-ca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217</Words>
  <Characters>1440</Characters>
  <Application>Microsoft Office Word</Application>
  <DocSecurity>0</DocSecurity>
  <Lines>26</Lines>
  <Paragraphs>8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Stępkowski</dc:creator>
  <cp:keywords/>
  <dc:description/>
  <cp:lastModifiedBy>Łukasz Stępkowski</cp:lastModifiedBy>
  <cp:revision>38</cp:revision>
  <dcterms:created xsi:type="dcterms:W3CDTF">2019-03-07T21:55:00Z</dcterms:created>
  <dcterms:modified xsi:type="dcterms:W3CDTF">2019-03-21T19:44:00Z</dcterms:modified>
</cp:coreProperties>
</file>