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E2256" w14:textId="77777777" w:rsidR="004A7B3E" w:rsidRDefault="00662718">
      <w:r>
        <w:t>dr Łukasz Stępkowski</w:t>
      </w:r>
    </w:p>
    <w:p w14:paraId="161825D8" w14:textId="77777777" w:rsidR="00662718" w:rsidRDefault="00662718" w:rsidP="00662718">
      <w:pPr>
        <w:jc w:val="right"/>
      </w:pPr>
      <w:r>
        <w:t>31 października 2019</w:t>
      </w:r>
    </w:p>
    <w:p w14:paraId="377098D3" w14:textId="77777777" w:rsidR="00662718" w:rsidRDefault="00662718" w:rsidP="00662718">
      <w:r>
        <w:t xml:space="preserve">Sylabus </w:t>
      </w:r>
      <w:r w:rsidRPr="00662718">
        <w:t>2019/20-Z System ochrony prawnej w UE 23-AD-S2-S3-SOPwUE</w:t>
      </w:r>
    </w:p>
    <w:p w14:paraId="75A3A9D2" w14:textId="77777777" w:rsidR="00662718" w:rsidRDefault="00662718" w:rsidP="00662718"/>
    <w:p w14:paraId="22B6CEF5" w14:textId="77777777" w:rsidR="00662718" w:rsidRDefault="00662718" w:rsidP="00662718">
      <w:r>
        <w:t>Zagadnienia, które będą przerabiane na ćwiczeniach</w:t>
      </w:r>
    </w:p>
    <w:p w14:paraId="5A2E559C" w14:textId="77777777" w:rsidR="00662718" w:rsidRDefault="00662718" w:rsidP="00662718">
      <w:r>
        <w:t>-</w:t>
      </w:r>
      <w:r>
        <w:tab/>
        <w:t>Trybunał Sprawiedliwości Unii Europejskiej – rola w systemie ochrony prawnej w UE</w:t>
      </w:r>
    </w:p>
    <w:p w14:paraId="3E971BE3" w14:textId="77777777" w:rsidR="00662718" w:rsidRDefault="00662718" w:rsidP="00662718">
      <w:r>
        <w:t>-</w:t>
      </w:r>
      <w:r>
        <w:tab/>
        <w:t>sądy krajowe i ich rola w systemie ochrony prawnej w UE</w:t>
      </w:r>
    </w:p>
    <w:p w14:paraId="4615A19D" w14:textId="77777777" w:rsidR="00662718" w:rsidRDefault="00662718" w:rsidP="00662718">
      <w:r>
        <w:t>-</w:t>
      </w:r>
      <w:r>
        <w:tab/>
        <w:t>skutek bezpośredni</w:t>
      </w:r>
    </w:p>
    <w:p w14:paraId="46E5EF2F" w14:textId="77777777" w:rsidR="00662718" w:rsidRDefault="00662718" w:rsidP="00662718">
      <w:r>
        <w:t>-</w:t>
      </w:r>
      <w:r>
        <w:tab/>
        <w:t>pierwszeństwo prawa Unii Europejskiej</w:t>
      </w:r>
    </w:p>
    <w:p w14:paraId="7E15AE2B" w14:textId="77777777" w:rsidR="00662718" w:rsidRDefault="00662718" w:rsidP="00662718">
      <w:r>
        <w:t>-</w:t>
      </w:r>
      <w:r>
        <w:tab/>
        <w:t>pytanie prejudycjalne w systemie ochrony prawnej w UE</w:t>
      </w:r>
    </w:p>
    <w:p w14:paraId="20C7AE7F" w14:textId="77777777" w:rsidR="00662718" w:rsidRDefault="00662718" w:rsidP="00662718">
      <w:r>
        <w:t>-</w:t>
      </w:r>
      <w:r>
        <w:tab/>
        <w:t>systematyka skarg bezpośrednich służących jednostce do TSUE</w:t>
      </w:r>
    </w:p>
    <w:p w14:paraId="277DEFD1" w14:textId="77777777" w:rsidR="00662718" w:rsidRDefault="00662718" w:rsidP="00662718">
      <w:r>
        <w:t>-</w:t>
      </w:r>
      <w:r>
        <w:tab/>
        <w:t>właściwość rzeczowa Sądu i Trybunału</w:t>
      </w:r>
    </w:p>
    <w:p w14:paraId="2565E8D0" w14:textId="77777777" w:rsidR="00662718" w:rsidRDefault="00662718" w:rsidP="00662718">
      <w:r>
        <w:t>-</w:t>
      </w:r>
      <w:r>
        <w:tab/>
        <w:t>skarga o stwierdzenie nieważności</w:t>
      </w:r>
    </w:p>
    <w:p w14:paraId="51A13CC4" w14:textId="77777777" w:rsidR="00662718" w:rsidRDefault="00662718" w:rsidP="00662718">
      <w:r>
        <w:t>-</w:t>
      </w:r>
      <w:r>
        <w:tab/>
        <w:t>zarzut niezgodności z prawem</w:t>
      </w:r>
    </w:p>
    <w:p w14:paraId="31A516CD" w14:textId="77777777" w:rsidR="00662718" w:rsidRDefault="00662718" w:rsidP="00662718">
      <w:r>
        <w:t>-</w:t>
      </w:r>
      <w:r>
        <w:tab/>
        <w:t>skarga na bezczynność</w:t>
      </w:r>
    </w:p>
    <w:p w14:paraId="25688A05" w14:textId="77777777" w:rsidR="00662718" w:rsidRDefault="00662718" w:rsidP="00662718">
      <w:r>
        <w:t>-</w:t>
      </w:r>
      <w:r>
        <w:tab/>
        <w:t>skarga o odszkodowanie z tytułu odpowiedzialności pozaumownej UE</w:t>
      </w:r>
    </w:p>
    <w:p w14:paraId="3683A999" w14:textId="77777777" w:rsidR="00662718" w:rsidRDefault="00662718" w:rsidP="00662718">
      <w:r>
        <w:t>-</w:t>
      </w:r>
      <w:r>
        <w:tab/>
        <w:t>środki tymczasowe</w:t>
      </w:r>
    </w:p>
    <w:p w14:paraId="740E2CDE" w14:textId="77777777" w:rsidR="00662718" w:rsidRDefault="00662718" w:rsidP="00662718"/>
    <w:p w14:paraId="5EDC3C21" w14:textId="77777777" w:rsidR="00662718" w:rsidRPr="00662718" w:rsidRDefault="00662718" w:rsidP="00662718">
      <w:pPr>
        <w:rPr>
          <w:b/>
          <w:bCs/>
        </w:rPr>
      </w:pPr>
      <w:r>
        <w:t xml:space="preserve">Literatura: osoby studiujące mogą korzystać z dowolnej literatury, która pozwoli na poznanie zagadnień ćwiczeniowych; </w:t>
      </w:r>
      <w:r w:rsidR="004450E0">
        <w:rPr>
          <w:b/>
          <w:bCs/>
        </w:rPr>
        <w:t>osoby studiujące nie powinny korzystać z literatury przed-Lizbońskiej</w:t>
      </w:r>
    </w:p>
    <w:p w14:paraId="41FBA504" w14:textId="77777777" w:rsidR="00662718" w:rsidRDefault="00662718" w:rsidP="00662718">
      <w:r>
        <w:t>Przykładowe pozycje z literatury</w:t>
      </w:r>
    </w:p>
    <w:p w14:paraId="6DF65AEC" w14:textId="77777777" w:rsidR="00662718" w:rsidRDefault="00662718" w:rsidP="00662718">
      <w:r w:rsidRPr="00662718">
        <w:t>Instytucje i prawo Unii Europejskiej</w:t>
      </w:r>
      <w:r>
        <w:t xml:space="preserve"> (Barcz, </w:t>
      </w:r>
      <w:proofErr w:type="spellStart"/>
      <w:r>
        <w:t>Wyrozumska</w:t>
      </w:r>
      <w:proofErr w:type="spellEnd"/>
      <w:r>
        <w:t>, Górka) Wolters Kluwer 2017</w:t>
      </w:r>
    </w:p>
    <w:p w14:paraId="1F0B1316" w14:textId="77777777" w:rsidR="00662718" w:rsidRDefault="00662718" w:rsidP="00662718">
      <w:r>
        <w:t>Podręcznik prawa UE (praca zbiorowa) IWEP 2018</w:t>
      </w:r>
    </w:p>
    <w:p w14:paraId="06E7F682" w14:textId="77777777" w:rsidR="00662718" w:rsidRDefault="00662718" w:rsidP="00662718">
      <w:r>
        <w:t xml:space="preserve">EU Law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Materials (Craig, de Burca) Oxford 2015</w:t>
      </w:r>
    </w:p>
    <w:p w14:paraId="0BE87F98" w14:textId="77777777" w:rsidR="00662718" w:rsidRDefault="00662718" w:rsidP="00662718">
      <w:r>
        <w:t xml:space="preserve">Zarys prawa UE (Safjan, </w:t>
      </w:r>
      <w:proofErr w:type="spellStart"/>
      <w:r>
        <w:t>Tizzano</w:t>
      </w:r>
      <w:proofErr w:type="spellEnd"/>
      <w:r>
        <w:t>, Adam) Wolters Kluwer 2013</w:t>
      </w:r>
    </w:p>
    <w:p w14:paraId="71739DB1" w14:textId="77777777" w:rsidR="004450E0" w:rsidRDefault="004450E0" w:rsidP="00662718">
      <w:r>
        <w:t>Zaliczenie: test, 30 pytań ABCD, tylko jedna odpowiedź poprawna</w:t>
      </w:r>
    </w:p>
    <w:p w14:paraId="7B758755" w14:textId="77777777" w:rsidR="004450E0" w:rsidRDefault="004450E0" w:rsidP="00662718">
      <w:r>
        <w:t>Punktacja</w:t>
      </w:r>
    </w:p>
    <w:p w14:paraId="66D5C7C8" w14:textId="77777777" w:rsidR="004450E0" w:rsidRDefault="004450E0" w:rsidP="00662718">
      <w:r>
        <w:t xml:space="preserve">0-15 – </w:t>
      </w:r>
      <w:proofErr w:type="spellStart"/>
      <w:r>
        <w:t>ndst</w:t>
      </w:r>
      <w:proofErr w:type="spellEnd"/>
    </w:p>
    <w:p w14:paraId="325E1FE5" w14:textId="77777777" w:rsidR="004450E0" w:rsidRDefault="004450E0" w:rsidP="00662718">
      <w:r>
        <w:t xml:space="preserve">16-19 – </w:t>
      </w:r>
      <w:proofErr w:type="spellStart"/>
      <w:r>
        <w:t>dst</w:t>
      </w:r>
      <w:proofErr w:type="spellEnd"/>
    </w:p>
    <w:p w14:paraId="5FFA5EAB" w14:textId="77777777" w:rsidR="004450E0" w:rsidRDefault="004450E0" w:rsidP="00662718">
      <w:r>
        <w:t xml:space="preserve">20-21 – </w:t>
      </w:r>
      <w:proofErr w:type="spellStart"/>
      <w:r>
        <w:t>dst</w:t>
      </w:r>
      <w:proofErr w:type="spellEnd"/>
      <w:r>
        <w:t xml:space="preserve"> +</w:t>
      </w:r>
    </w:p>
    <w:p w14:paraId="230EB518" w14:textId="77777777" w:rsidR="004450E0" w:rsidRDefault="004450E0" w:rsidP="00662718">
      <w:r>
        <w:t xml:space="preserve">22-25 – </w:t>
      </w:r>
      <w:proofErr w:type="spellStart"/>
      <w:r>
        <w:t>db</w:t>
      </w:r>
      <w:proofErr w:type="spellEnd"/>
    </w:p>
    <w:p w14:paraId="06460D93" w14:textId="77777777" w:rsidR="004450E0" w:rsidRDefault="004450E0" w:rsidP="00662718">
      <w:r>
        <w:t>26</w:t>
      </w:r>
      <w:bookmarkStart w:id="0" w:name="_GoBack"/>
      <w:bookmarkEnd w:id="0"/>
      <w:r>
        <w:t xml:space="preserve">-27 – </w:t>
      </w:r>
      <w:proofErr w:type="spellStart"/>
      <w:r>
        <w:t>db</w:t>
      </w:r>
      <w:proofErr w:type="spellEnd"/>
      <w:r>
        <w:t>+</w:t>
      </w:r>
    </w:p>
    <w:p w14:paraId="48836830" w14:textId="77777777" w:rsidR="004450E0" w:rsidRDefault="004450E0" w:rsidP="00662718">
      <w:r>
        <w:t xml:space="preserve">28-30 - </w:t>
      </w:r>
      <w:proofErr w:type="spellStart"/>
      <w:r>
        <w:t>bdb</w:t>
      </w:r>
      <w:proofErr w:type="spellEnd"/>
      <w:r>
        <w:t xml:space="preserve"> </w:t>
      </w:r>
    </w:p>
    <w:p w14:paraId="7440E495" w14:textId="77777777" w:rsidR="00662718" w:rsidRDefault="00662718" w:rsidP="00662718"/>
    <w:sectPr w:rsidR="0066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18"/>
    <w:rsid w:val="004450E0"/>
    <w:rsid w:val="004A7B3E"/>
    <w:rsid w:val="0066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B4A1AE"/>
  <w15:chartTrackingRefBased/>
  <w15:docId w15:val="{C91E7AE8-BA7C-47E8-BEB6-6803DBAB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Stępkowski</dc:creator>
  <cp:keywords/>
  <dc:description/>
  <cp:lastModifiedBy>Łukasz Stępkowski</cp:lastModifiedBy>
  <cp:revision>1</cp:revision>
  <dcterms:created xsi:type="dcterms:W3CDTF">2019-10-31T09:14:00Z</dcterms:created>
  <dcterms:modified xsi:type="dcterms:W3CDTF">2019-10-31T09:27:00Z</dcterms:modified>
</cp:coreProperties>
</file>