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26C" w:rsidRDefault="006D326C" w:rsidP="006D326C">
      <w:pPr>
        <w:pStyle w:val="Nagwek1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D326C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Wykaz zagadnień na kolokwium</w:t>
      </w:r>
    </w:p>
    <w:p w:rsidR="006D326C" w:rsidRPr="006D326C" w:rsidRDefault="006D326C" w:rsidP="006D326C">
      <w:bookmarkStart w:id="0" w:name="_GoBack"/>
      <w:bookmarkEnd w:id="0"/>
    </w:p>
    <w:p w:rsidR="00D701A6" w:rsidRPr="006D326C" w:rsidRDefault="00727C9E" w:rsidP="006D32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6C">
        <w:rPr>
          <w:rFonts w:ascii="Times New Roman" w:hAnsi="Times New Roman" w:cs="Times New Roman"/>
          <w:sz w:val="24"/>
          <w:szCs w:val="24"/>
        </w:rPr>
        <w:t>Postępowanie karne</w:t>
      </w:r>
      <w:r w:rsidR="006D326C" w:rsidRPr="006D326C">
        <w:rPr>
          <w:rFonts w:ascii="Times New Roman" w:hAnsi="Times New Roman" w:cs="Times New Roman"/>
          <w:sz w:val="24"/>
          <w:szCs w:val="24"/>
        </w:rPr>
        <w:t>- pojęcie i cele. Stadia procesu karnego.</w:t>
      </w:r>
    </w:p>
    <w:p w:rsidR="006D326C" w:rsidRPr="006D326C" w:rsidRDefault="006D326C" w:rsidP="006D32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6C">
        <w:rPr>
          <w:rFonts w:ascii="Times New Roman" w:hAnsi="Times New Roman" w:cs="Times New Roman"/>
          <w:sz w:val="24"/>
          <w:szCs w:val="24"/>
        </w:rPr>
        <w:t>Sąd jako organ postępowania karnego. Pojęcie i rodzaje właściwości sądu.</w:t>
      </w:r>
    </w:p>
    <w:p w:rsidR="006D326C" w:rsidRPr="006D326C" w:rsidRDefault="006D326C" w:rsidP="006D32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6C">
        <w:rPr>
          <w:rFonts w:ascii="Times New Roman" w:hAnsi="Times New Roman" w:cs="Times New Roman"/>
          <w:sz w:val="24"/>
          <w:szCs w:val="24"/>
        </w:rPr>
        <w:t>Prokurator jako organ postępowania karnego oraz jako oskarżyciel publiczny.</w:t>
      </w:r>
    </w:p>
    <w:p w:rsidR="006D326C" w:rsidRPr="006D326C" w:rsidRDefault="006D326C" w:rsidP="006D32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6C">
        <w:rPr>
          <w:rFonts w:ascii="Times New Roman" w:hAnsi="Times New Roman" w:cs="Times New Roman"/>
          <w:sz w:val="24"/>
          <w:szCs w:val="24"/>
        </w:rPr>
        <w:t>Oskarżony, podejrzany, osoba podejrzana. Obowiązki dowodowe oskarżonego i osoby podejrzanej. Zasada prawa do obrony.</w:t>
      </w:r>
    </w:p>
    <w:p w:rsidR="006D326C" w:rsidRPr="006D326C" w:rsidRDefault="006D326C" w:rsidP="006D32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6C">
        <w:rPr>
          <w:rFonts w:ascii="Times New Roman" w:hAnsi="Times New Roman" w:cs="Times New Roman"/>
          <w:sz w:val="24"/>
          <w:szCs w:val="24"/>
        </w:rPr>
        <w:t>Obrońca w postępowaniu karnym- pojęcie i zakres uprawnień.</w:t>
      </w:r>
    </w:p>
    <w:p w:rsidR="006D326C" w:rsidRPr="006D326C" w:rsidRDefault="006D326C" w:rsidP="006D32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6C">
        <w:rPr>
          <w:rFonts w:ascii="Times New Roman" w:hAnsi="Times New Roman" w:cs="Times New Roman"/>
          <w:sz w:val="24"/>
          <w:szCs w:val="24"/>
        </w:rPr>
        <w:t>Dowody w procesie karnym. Przeprowadzanie dowodów na wniosek i z urzędu.</w:t>
      </w:r>
    </w:p>
    <w:p w:rsidR="006D326C" w:rsidRPr="006D326C" w:rsidRDefault="006D326C" w:rsidP="006D32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6C">
        <w:rPr>
          <w:rFonts w:ascii="Times New Roman" w:hAnsi="Times New Roman" w:cs="Times New Roman"/>
          <w:sz w:val="24"/>
          <w:szCs w:val="24"/>
        </w:rPr>
        <w:t xml:space="preserve">Świadek w procesie karnym. Obowiązki i uprawnienia. Tryb przesłuchania świadka. </w:t>
      </w:r>
    </w:p>
    <w:p w:rsidR="006D326C" w:rsidRPr="006D326C" w:rsidRDefault="006D326C" w:rsidP="006D32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6C">
        <w:rPr>
          <w:rFonts w:ascii="Times New Roman" w:hAnsi="Times New Roman" w:cs="Times New Roman"/>
          <w:sz w:val="24"/>
          <w:szCs w:val="24"/>
        </w:rPr>
        <w:t>Uprawnienia podejrzanego w toku postępowania przygotowawczego.</w:t>
      </w:r>
    </w:p>
    <w:p w:rsidR="006D326C" w:rsidRPr="006D326C" w:rsidRDefault="006D326C" w:rsidP="006D32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6C">
        <w:rPr>
          <w:rFonts w:ascii="Times New Roman" w:hAnsi="Times New Roman" w:cs="Times New Roman"/>
          <w:sz w:val="24"/>
          <w:szCs w:val="24"/>
        </w:rPr>
        <w:t xml:space="preserve">Przedstawienie oraz zmiana zarzutów- przebieg czynności. Znaczenie instytucji przedstawienia zarzutów dla uprawnień podejrzanego. </w:t>
      </w:r>
    </w:p>
    <w:sectPr w:rsidR="006D326C" w:rsidRPr="006D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C6E53"/>
    <w:multiLevelType w:val="hybridMultilevel"/>
    <w:tmpl w:val="1D96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9E"/>
    <w:rsid w:val="00270606"/>
    <w:rsid w:val="0068390B"/>
    <w:rsid w:val="006D1895"/>
    <w:rsid w:val="006D326C"/>
    <w:rsid w:val="00727C9E"/>
    <w:rsid w:val="00B40A68"/>
    <w:rsid w:val="00D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6915"/>
  <w15:chartTrackingRefBased/>
  <w15:docId w15:val="{F77BF4DA-345B-46F3-A595-429E69AE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3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2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2019-12-31T09:57:00Z</dcterms:created>
  <dcterms:modified xsi:type="dcterms:W3CDTF">2019-12-31T10:07:00Z</dcterms:modified>
</cp:coreProperties>
</file>