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9F8" w:rsidRPr="00946B4D" w:rsidRDefault="007B773A" w:rsidP="00FD03C3">
      <w:pPr>
        <w:pStyle w:val="autorprokuratury"/>
      </w:pPr>
      <w:r w:rsidRPr="00946B4D">
        <w:pict>
          <v:rect id="_x0000_s1026" style="position:absolute;left:0;text-align:left;margin-left:-11.05pt;margin-top:-52.15pt;width:373.4pt;height:25.1pt;z-index:251657216;v-text-anchor:middle" strokecolor="white" strokeweight=".26mm">
            <v:fill color2="black"/>
            <v:stroke color2="black"/>
          </v:rect>
        </w:pict>
      </w:r>
      <w:r w:rsidR="006A334B" w:rsidRPr="00946B4D">
        <w:pict>
          <v:rect id="_x0000_s1027" style="position:absolute;left:0;text-align:left;margin-left:-11.05pt;margin-top:-52.15pt;width:373.4pt;height:25.1pt;z-index:251658240;v-text-anchor:middle" strokecolor="white" strokeweight=".26mm">
            <v:fill color2="black"/>
            <v:stroke color2="black"/>
          </v:rect>
        </w:pict>
      </w:r>
      <w:r w:rsidR="002F49F8" w:rsidRPr="00946B4D">
        <w:t>Ryszard A. Stefański</w:t>
      </w:r>
    </w:p>
    <w:p w:rsidR="002F49F8" w:rsidRPr="00946B4D" w:rsidRDefault="002F49F8" w:rsidP="00FD03C3">
      <w:pPr>
        <w:pStyle w:val="tytulprokuratury"/>
      </w:pPr>
      <w:r w:rsidRPr="00946B4D">
        <w:t>Końcowe zapoznanie z materiałami postępow</w:t>
      </w:r>
      <w:r w:rsidRPr="00946B4D">
        <w:t>a</w:t>
      </w:r>
      <w:r w:rsidRPr="00946B4D">
        <w:t>nia przygotowawcz</w:t>
      </w:r>
      <w:r w:rsidRPr="00946B4D">
        <w:t>e</w:t>
      </w:r>
      <w:r w:rsidRPr="00946B4D">
        <w:t xml:space="preserve">go w świetle noweli </w:t>
      </w:r>
      <w:r w:rsidR="0091305D">
        <w:br/>
      </w:r>
      <w:r w:rsidRPr="00946B4D">
        <w:t>z dnia 27 września 2013 r.</w:t>
      </w:r>
    </w:p>
    <w:p w:rsidR="002F49F8" w:rsidRPr="00946B4D" w:rsidRDefault="002F49F8" w:rsidP="00FD03C3">
      <w:pPr>
        <w:pStyle w:val="podtytulprokuratury"/>
      </w:pPr>
      <w:r w:rsidRPr="00946B4D">
        <w:t>Streszczenie</w:t>
      </w:r>
    </w:p>
    <w:p w:rsidR="002F49F8" w:rsidRPr="00946B4D" w:rsidRDefault="002F49F8" w:rsidP="004B7E04">
      <w:pPr>
        <w:pStyle w:val="tekstprokuratury"/>
        <w:rPr>
          <w:i/>
          <w:iCs/>
        </w:rPr>
      </w:pPr>
      <w:r w:rsidRPr="00946B4D">
        <w:rPr>
          <w:i/>
          <w:iCs/>
        </w:rPr>
        <w:t>Przedmiotem artykułu są zmiany wprowadzone ustawą z dnia 27 wrz</w:t>
      </w:r>
      <w:r w:rsidRPr="00946B4D">
        <w:rPr>
          <w:i/>
          <w:iCs/>
        </w:rPr>
        <w:t>e</w:t>
      </w:r>
      <w:r w:rsidRPr="00946B4D">
        <w:rPr>
          <w:i/>
          <w:iCs/>
        </w:rPr>
        <w:t>śnia 2013 r.</w:t>
      </w:r>
      <w:r w:rsidR="0091305D">
        <w:rPr>
          <w:i/>
          <w:iCs/>
        </w:rPr>
        <w:t>,</w:t>
      </w:r>
      <w:r w:rsidRPr="00946B4D">
        <w:rPr>
          <w:i/>
          <w:iCs/>
        </w:rPr>
        <w:t xml:space="preserve"> dotyczące końcowego zapoznania się z materiałami postęp</w:t>
      </w:r>
      <w:r w:rsidRPr="00946B4D">
        <w:rPr>
          <w:i/>
          <w:iCs/>
        </w:rPr>
        <w:t>o</w:t>
      </w:r>
      <w:r w:rsidRPr="00946B4D">
        <w:rPr>
          <w:i/>
          <w:iCs/>
        </w:rPr>
        <w:t>wania przygotowawczego, polegające</w:t>
      </w:r>
      <w:r w:rsidR="004B7E04" w:rsidRPr="00946B4D">
        <w:rPr>
          <w:i/>
          <w:iCs/>
        </w:rPr>
        <w:t xml:space="preserve"> </w:t>
      </w:r>
      <w:r w:rsidRPr="00946B4D">
        <w:rPr>
          <w:i/>
          <w:iCs/>
        </w:rPr>
        <w:t>na nadaniu</w:t>
      </w:r>
      <w:r w:rsidR="004B7E04" w:rsidRPr="00946B4D">
        <w:rPr>
          <w:i/>
          <w:iCs/>
        </w:rPr>
        <w:t xml:space="preserve"> </w:t>
      </w:r>
      <w:r w:rsidRPr="00946B4D">
        <w:rPr>
          <w:i/>
          <w:iCs/>
        </w:rPr>
        <w:t>pokrzywdzonemu i jego pełnomocnikowi uprawnienia do końcowego zapoznania się z materi</w:t>
      </w:r>
      <w:r w:rsidRPr="00946B4D">
        <w:rPr>
          <w:i/>
          <w:iCs/>
        </w:rPr>
        <w:t>a</w:t>
      </w:r>
      <w:r w:rsidRPr="00946B4D">
        <w:rPr>
          <w:i/>
          <w:iCs/>
        </w:rPr>
        <w:t>łami postępowania oraz zmiany</w:t>
      </w:r>
      <w:r w:rsidR="004B7E04" w:rsidRPr="00946B4D">
        <w:rPr>
          <w:i/>
          <w:iCs/>
        </w:rPr>
        <w:t xml:space="preserve"> </w:t>
      </w:r>
      <w:r w:rsidRPr="00946B4D">
        <w:rPr>
          <w:i/>
          <w:iCs/>
        </w:rPr>
        <w:t>sposobu zapoznania się z tymi materiami. Wsk</w:t>
      </w:r>
      <w:r w:rsidRPr="00946B4D">
        <w:rPr>
          <w:i/>
          <w:iCs/>
        </w:rPr>
        <w:t>a</w:t>
      </w:r>
      <w:r w:rsidRPr="00946B4D">
        <w:rPr>
          <w:i/>
          <w:iCs/>
        </w:rPr>
        <w:t>zano wątpliwości, jakie budzi nowa regulacja i przedstawiono ich rozwiąz</w:t>
      </w:r>
      <w:r w:rsidRPr="00946B4D">
        <w:rPr>
          <w:i/>
          <w:iCs/>
        </w:rPr>
        <w:t>a</w:t>
      </w:r>
      <w:r w:rsidRPr="00946B4D">
        <w:rPr>
          <w:i/>
          <w:iCs/>
        </w:rPr>
        <w:t>nie. Omówione zostały: wniosek o końcowe zapoznanie z materiałami p</w:t>
      </w:r>
      <w:r w:rsidRPr="00946B4D">
        <w:rPr>
          <w:i/>
          <w:iCs/>
        </w:rPr>
        <w:t>o</w:t>
      </w:r>
      <w:r w:rsidRPr="00946B4D">
        <w:rPr>
          <w:i/>
          <w:iCs/>
        </w:rPr>
        <w:t>stępowania przygotowawczego, czynności zapoznania</w:t>
      </w:r>
      <w:r w:rsidR="0091305D">
        <w:rPr>
          <w:i/>
          <w:iCs/>
        </w:rPr>
        <w:t>,</w:t>
      </w:r>
      <w:r w:rsidRPr="00946B4D">
        <w:rPr>
          <w:i/>
          <w:iCs/>
        </w:rPr>
        <w:t xml:space="preserve"> tj. wyznaczenie te</w:t>
      </w:r>
      <w:r w:rsidRPr="00946B4D">
        <w:rPr>
          <w:i/>
          <w:iCs/>
        </w:rPr>
        <w:t>r</w:t>
      </w:r>
      <w:r w:rsidRPr="00946B4D">
        <w:rPr>
          <w:i/>
          <w:iCs/>
        </w:rPr>
        <w:t>minu do zapoznania, powiadomienie o możliwości i terminie</w:t>
      </w:r>
      <w:r w:rsidR="004B7E04" w:rsidRPr="00946B4D">
        <w:rPr>
          <w:i/>
          <w:iCs/>
        </w:rPr>
        <w:t xml:space="preserve"> </w:t>
      </w:r>
      <w:r w:rsidRPr="00946B4D">
        <w:rPr>
          <w:i/>
          <w:iCs/>
        </w:rPr>
        <w:t>zapoznania, udział podejrzanego i pokrzywdzonego w zapoznaniu, sposób zapoznania, czas zapoznania, poinformowanie o materiałach przekazywanych sądowi wraz z aktem oskarżenia, dokumentowanie zapoznania, wnioski o uzupe</w:t>
      </w:r>
      <w:r w:rsidRPr="00946B4D">
        <w:rPr>
          <w:i/>
          <w:iCs/>
        </w:rPr>
        <w:t>ł</w:t>
      </w:r>
      <w:r w:rsidRPr="00946B4D">
        <w:rPr>
          <w:i/>
          <w:iCs/>
        </w:rPr>
        <w:t>nienie postępowania oraz skutki procesowe niezapoznania z materiałami postępowania.</w:t>
      </w:r>
    </w:p>
    <w:p w:rsidR="002F49F8" w:rsidRPr="00946B4D" w:rsidRDefault="002F49F8" w:rsidP="00FD03C3">
      <w:pPr>
        <w:pStyle w:val="podtytulprokuratury"/>
      </w:pPr>
      <w:r w:rsidRPr="00946B4D">
        <w:t>I. Wprowadzenie</w:t>
      </w:r>
    </w:p>
    <w:p w:rsidR="002F49F8" w:rsidRPr="00946B4D" w:rsidRDefault="002F49F8" w:rsidP="004B7E04">
      <w:pPr>
        <w:pStyle w:val="tekstprokuratury"/>
      </w:pPr>
      <w:r w:rsidRPr="00946B4D">
        <w:t>Końcowe zapoznanie się z materiałami postępowania przygotowawcz</w:t>
      </w:r>
      <w:r w:rsidRPr="00946B4D">
        <w:t>e</w:t>
      </w:r>
      <w:r w:rsidRPr="00946B4D">
        <w:t>go jest jedną z ważniejszych czynności zamknięcia śledztwa lub dochodz</w:t>
      </w:r>
      <w:r w:rsidRPr="00946B4D">
        <w:t>e</w:t>
      </w:r>
      <w:r w:rsidRPr="00946B4D">
        <w:t>nia, na które – zgodnie z art. 321 w zw. z art.325a § 2 k.p.k. – składa się z</w:t>
      </w:r>
      <w:r w:rsidRPr="00946B4D">
        <w:t>e</w:t>
      </w:r>
      <w:r w:rsidRPr="00946B4D">
        <w:t>spół czynności, z tym że omawiana czynność zależy od aktywności</w:t>
      </w:r>
      <w:r w:rsidR="004B7E04" w:rsidRPr="00946B4D">
        <w:t xml:space="preserve"> </w:t>
      </w:r>
      <w:r w:rsidRPr="00946B4D">
        <w:t>pode</w:t>
      </w:r>
      <w:r w:rsidRPr="00946B4D">
        <w:t>j</w:t>
      </w:r>
      <w:r w:rsidRPr="00946B4D">
        <w:t>rzanego i jego obrońcy lub pokrzywdzonego i jego pełnomocnika, gdyż</w:t>
      </w:r>
      <w:r w:rsidR="004B7E04" w:rsidRPr="00946B4D">
        <w:t xml:space="preserve"> </w:t>
      </w:r>
      <w:r w:rsidRPr="00946B4D">
        <w:t>jest dokon</w:t>
      </w:r>
      <w:r w:rsidRPr="00946B4D">
        <w:t>y</w:t>
      </w:r>
      <w:r w:rsidRPr="00946B4D">
        <w:t>wana wyłącznie na ich</w:t>
      </w:r>
      <w:r w:rsidR="004B7E04" w:rsidRPr="00946B4D">
        <w:t xml:space="preserve"> </w:t>
      </w:r>
      <w:r w:rsidRPr="00946B4D">
        <w:t>wniosek.</w:t>
      </w:r>
      <w:r w:rsidR="004B7E04" w:rsidRPr="00946B4D">
        <w:t xml:space="preserve"> </w:t>
      </w:r>
    </w:p>
    <w:p w:rsidR="002F49F8" w:rsidRPr="00946B4D" w:rsidRDefault="002F49F8" w:rsidP="004B7E04">
      <w:pPr>
        <w:pStyle w:val="tekstprokuratury"/>
      </w:pPr>
      <w:r w:rsidRPr="00946B4D">
        <w:t xml:space="preserve">Ustawa z dnia 27 września 2013 r. o zmianie ustawy </w:t>
      </w:r>
      <w:r w:rsidR="004B7E04" w:rsidRPr="00946B4D">
        <w:t>–</w:t>
      </w:r>
      <w:r w:rsidRPr="00946B4D">
        <w:t xml:space="preserve"> Kodeks postęp</w:t>
      </w:r>
      <w:r w:rsidRPr="00946B4D">
        <w:t>o</w:t>
      </w:r>
      <w:r w:rsidRPr="00946B4D">
        <w:t>wania karnego oraz niektórych innych ustaw</w:t>
      </w:r>
      <w:r w:rsidRPr="00946B4D">
        <w:rPr>
          <w:rStyle w:val="Odwoanieprzypisudolnego"/>
          <w:rFonts w:ascii="Arial" w:hAnsi="Arial" w:cs="Arial"/>
          <w:bCs w:val="0"/>
          <w:szCs w:val="21"/>
        </w:rPr>
        <w:footnoteReference w:id="1"/>
      </w:r>
      <w:r w:rsidRPr="00946B4D">
        <w:t xml:space="preserve"> wprowadziła istotne zmiany do zamknięcia śledztwa, a zwłaszcza końcowego zapoznania się z materi</w:t>
      </w:r>
      <w:r w:rsidRPr="00946B4D">
        <w:t>a</w:t>
      </w:r>
      <w:r w:rsidRPr="00946B4D">
        <w:t>łami postepowania przygotowawczego.</w:t>
      </w:r>
      <w:r w:rsidR="004B7E04" w:rsidRPr="00946B4D">
        <w:t xml:space="preserve"> </w:t>
      </w:r>
    </w:p>
    <w:p w:rsidR="002F49F8" w:rsidRPr="00946B4D" w:rsidRDefault="002F49F8" w:rsidP="004B7E04">
      <w:pPr>
        <w:pStyle w:val="tekstprokuratury"/>
      </w:pPr>
      <w:r w:rsidRPr="00946B4D">
        <w:t>Główne zmiany polegają na:</w:t>
      </w:r>
    </w:p>
    <w:p w:rsidR="002F49F8" w:rsidRPr="00946B4D" w:rsidRDefault="002F49F8" w:rsidP="00FD03C3">
      <w:pPr>
        <w:pStyle w:val="tekstprokuratury"/>
        <w:numPr>
          <w:ilvl w:val="0"/>
          <w:numId w:val="5"/>
        </w:numPr>
        <w:tabs>
          <w:tab w:val="clear" w:pos="929"/>
          <w:tab w:val="num" w:pos="284"/>
        </w:tabs>
        <w:ind w:left="284" w:hanging="284"/>
      </w:pPr>
      <w:r w:rsidRPr="00946B4D">
        <w:lastRenderedPageBreak/>
        <w:t>nadaniu także pokrzywdzonemu i jego pełnomocnikowi uprawnie</w:t>
      </w:r>
      <w:r w:rsidR="002A5540" w:rsidRPr="00946B4D">
        <w:t>ń</w:t>
      </w:r>
      <w:r w:rsidRPr="00946B4D">
        <w:t xml:space="preserve"> do końcowego zapoznania się z materiałami postępowania,</w:t>
      </w:r>
    </w:p>
    <w:p w:rsidR="002F49F8" w:rsidRPr="00946B4D" w:rsidRDefault="002F49F8" w:rsidP="00FD03C3">
      <w:pPr>
        <w:pStyle w:val="tekstprokuratury"/>
        <w:numPr>
          <w:ilvl w:val="0"/>
          <w:numId w:val="5"/>
        </w:numPr>
        <w:tabs>
          <w:tab w:val="clear" w:pos="929"/>
          <w:tab w:val="num" w:pos="284"/>
        </w:tabs>
        <w:ind w:left="284" w:hanging="284"/>
      </w:pPr>
      <w:r w:rsidRPr="00946B4D">
        <w:t>wprowadzeniu nowego sposobu uzyskania informacji o treści z</w:t>
      </w:r>
      <w:r w:rsidRPr="00946B4D">
        <w:t>e</w:t>
      </w:r>
      <w:r w:rsidRPr="00946B4D">
        <w:t xml:space="preserve">branych materiałów. </w:t>
      </w:r>
    </w:p>
    <w:p w:rsidR="002F49F8" w:rsidRPr="00946B4D" w:rsidRDefault="002F49F8" w:rsidP="004B7E04">
      <w:pPr>
        <w:pStyle w:val="tekstprokuratury"/>
      </w:pPr>
      <w:r w:rsidRPr="00946B4D">
        <w:t>W</w:t>
      </w:r>
      <w:r w:rsidR="004B7E04" w:rsidRPr="00946B4D">
        <w:t xml:space="preserve"> </w:t>
      </w:r>
      <w:r w:rsidRPr="00946B4D">
        <w:t>myśl dotychczasowych przepisów zaznajamiany z materiałami post</w:t>
      </w:r>
      <w:r w:rsidRPr="00946B4D">
        <w:t>ę</w:t>
      </w:r>
      <w:r w:rsidRPr="00946B4D">
        <w:t>powania przygotowawczego przez zamknięciem śledztwa lub doch</w:t>
      </w:r>
      <w:r w:rsidRPr="00946B4D">
        <w:t>o</w:t>
      </w:r>
      <w:r w:rsidRPr="00946B4D">
        <w:t>dzenia był podejrzany. Nie miał takiego uprawnienia pokrzywdzony, mimo że był stroną (art. 299 § 1 k.p.k.). Nowela</w:t>
      </w:r>
      <w:r w:rsidR="004B7E04" w:rsidRPr="00946B4D">
        <w:t xml:space="preserve"> </w:t>
      </w:r>
      <w:r w:rsidRPr="00946B4D">
        <w:t>uprawnienie to przyznaje także pokrzy</w:t>
      </w:r>
      <w:r w:rsidRPr="00946B4D">
        <w:t>w</w:t>
      </w:r>
      <w:r w:rsidRPr="00946B4D">
        <w:t>dzonemu</w:t>
      </w:r>
      <w:r w:rsidRPr="00946B4D">
        <w:rPr>
          <w:rStyle w:val="Odwoanieprzypisudolnego"/>
          <w:rFonts w:ascii="Arial" w:hAnsi="Arial" w:cs="Arial"/>
          <w:szCs w:val="21"/>
        </w:rPr>
        <w:footnoteReference w:id="2"/>
      </w:r>
      <w:r w:rsidR="00FD03C3" w:rsidRPr="00946B4D">
        <w:t>.</w:t>
      </w:r>
      <w:r w:rsidRPr="00946B4D">
        <w:t xml:space="preserve"> W ten sposób został zrealizowany postulat zgłaszany w doktr</w:t>
      </w:r>
      <w:r w:rsidRPr="00946B4D">
        <w:t>y</w:t>
      </w:r>
      <w:r w:rsidRPr="00946B4D">
        <w:t>nie, by z materiałami postępowania był zapoznawany także pokrzy</w:t>
      </w:r>
      <w:r w:rsidRPr="00946B4D">
        <w:t>w</w:t>
      </w:r>
      <w:r w:rsidRPr="00946B4D">
        <w:t>dzony</w:t>
      </w:r>
      <w:r w:rsidRPr="00946B4D">
        <w:rPr>
          <w:rStyle w:val="Odwoanieprzypisudolnego"/>
          <w:rFonts w:ascii="Arial" w:hAnsi="Arial" w:cs="Arial"/>
          <w:szCs w:val="21"/>
        </w:rPr>
        <w:footnoteReference w:id="3"/>
      </w:r>
      <w:r w:rsidR="00FD03C3" w:rsidRPr="00946B4D">
        <w:t>.</w:t>
      </w:r>
      <w:r w:rsidRPr="00946B4D">
        <w:t xml:space="preserve"> Uprawnienie pokrzywdzonego i jego pełnomocnika do zapoznania się z m</w:t>
      </w:r>
      <w:r w:rsidRPr="00946B4D">
        <w:t>a</w:t>
      </w:r>
      <w:r w:rsidRPr="00946B4D">
        <w:t>teriałami postępowania</w:t>
      </w:r>
      <w:r w:rsidR="004B7E04" w:rsidRPr="00946B4D">
        <w:t xml:space="preserve"> </w:t>
      </w:r>
      <w:r w:rsidRPr="00946B4D">
        <w:t xml:space="preserve">– jak słusznie podkreślono w uzasadnieniu noweli </w:t>
      </w:r>
      <w:r w:rsidR="00FD03C3" w:rsidRPr="00946B4D">
        <w:t>z</w:t>
      </w:r>
      <w:r w:rsidR="00554DA7" w:rsidRPr="00946B4D">
        <w:t> </w:t>
      </w:r>
      <w:r w:rsidR="00FD03C3" w:rsidRPr="00946B4D">
        <w:t xml:space="preserve">dnia 27 września </w:t>
      </w:r>
      <w:r w:rsidRPr="00946B4D">
        <w:t>2013 r. – doprowadziło „do równego traktowania w tym stadium procesu obu jego stron, czyli oskarżonego i pokrzywdzonego, także w końcowej jego fazie”</w:t>
      </w:r>
      <w:r w:rsidRPr="00946B4D">
        <w:rPr>
          <w:rStyle w:val="Odwoanieprzypisudolnego"/>
          <w:rFonts w:ascii="Arial" w:hAnsi="Arial" w:cs="Arial"/>
          <w:szCs w:val="21"/>
        </w:rPr>
        <w:footnoteReference w:id="4"/>
      </w:r>
      <w:r w:rsidR="00FD03C3" w:rsidRPr="00946B4D">
        <w:t>.</w:t>
      </w:r>
    </w:p>
    <w:p w:rsidR="002F49F8" w:rsidRPr="00946B4D" w:rsidRDefault="002F49F8" w:rsidP="004B7E04">
      <w:pPr>
        <w:pStyle w:val="tekstprokuratury"/>
      </w:pPr>
      <w:r w:rsidRPr="00946B4D">
        <w:t>Według dotychczasowych</w:t>
      </w:r>
      <w:r w:rsidR="004B7E04" w:rsidRPr="00946B4D">
        <w:t xml:space="preserve"> </w:t>
      </w:r>
      <w:r w:rsidRPr="00946B4D">
        <w:t>przepisów zapoznanie się podejrzanego z a</w:t>
      </w:r>
      <w:r w:rsidRPr="00946B4D">
        <w:t>k</w:t>
      </w:r>
      <w:r w:rsidRPr="00946B4D">
        <w:t>tami polegało na tym, że prowadzący postępowanie zaznajamiał go z zebr</w:t>
      </w:r>
      <w:r w:rsidRPr="00946B4D">
        <w:t>a</w:t>
      </w:r>
      <w:r w:rsidRPr="00946B4D">
        <w:t>nymi materiami, referując przebieg poszczególnych czynności. Jeśli</w:t>
      </w:r>
      <w:r w:rsidR="004B7E04" w:rsidRPr="00946B4D">
        <w:t xml:space="preserve"> </w:t>
      </w:r>
      <w:r w:rsidRPr="00946B4D">
        <w:t>pode</w:t>
      </w:r>
      <w:r w:rsidRPr="00946B4D">
        <w:t>j</w:t>
      </w:r>
      <w:r w:rsidRPr="00946B4D">
        <w:t>rzany wyraził takie życzenie, mógł wcześniej przejrzeć akta. W wypadku gdy sam podejrzany lub z obrońcą przeglądał akta, zaznajamianie ich z materi</w:t>
      </w:r>
      <w:r w:rsidRPr="00946B4D">
        <w:t>a</w:t>
      </w:r>
      <w:r w:rsidRPr="00946B4D">
        <w:t>łami postępowania przez prowadzącego postępowanie stawało się be</w:t>
      </w:r>
      <w:r w:rsidRPr="00946B4D">
        <w:t>z</w:t>
      </w:r>
      <w:r w:rsidRPr="00946B4D">
        <w:t>przedmiotowe. Aktywną rolę odgrywał prowadzący postępowanie, a pode</w:t>
      </w:r>
      <w:r w:rsidRPr="00946B4D">
        <w:t>j</w:t>
      </w:r>
      <w:r w:rsidRPr="00946B4D">
        <w:t>rzany mógł jedynie przejrzeć akta. W myśl noweli podejrzany lub pokrzy</w:t>
      </w:r>
      <w:r w:rsidRPr="00946B4D">
        <w:t>w</w:t>
      </w:r>
      <w:r w:rsidRPr="00946B4D">
        <w:t>dzony zapoznaje się sam lub przy udziale odpowiednio obrońcy lub pełn</w:t>
      </w:r>
      <w:r w:rsidRPr="00946B4D">
        <w:t>o</w:t>
      </w:r>
      <w:r w:rsidRPr="00946B4D">
        <w:t>mocnika. Prowadzący postępowanie nie zaznajamia ich z tymi materiałami.</w:t>
      </w:r>
      <w:r w:rsidR="004B7E04" w:rsidRPr="00946B4D">
        <w:t xml:space="preserve"> </w:t>
      </w:r>
    </w:p>
    <w:p w:rsidR="002F49F8" w:rsidRPr="00946B4D" w:rsidRDefault="002F49F8" w:rsidP="004B7E04">
      <w:pPr>
        <w:pStyle w:val="tekstprokuratury"/>
      </w:pPr>
      <w:r w:rsidRPr="00946B4D">
        <w:t>Zapoznanie się z materia</w:t>
      </w:r>
      <w:r w:rsidR="0010233C">
        <w:t>ła</w:t>
      </w:r>
      <w:r w:rsidRPr="00946B4D">
        <w:t>mi postępowania przygotowawczego ma nadal charakter względnie obligatoryjny, gdyż jest uzależnione od wniosku strony lub jej</w:t>
      </w:r>
      <w:r w:rsidR="004B7E04" w:rsidRPr="00946B4D">
        <w:t xml:space="preserve"> </w:t>
      </w:r>
      <w:r w:rsidRPr="00946B4D">
        <w:t>przedstawiciela procesowego. Inicjuje te czynności wniosek podejrz</w:t>
      </w:r>
      <w:r w:rsidRPr="00946B4D">
        <w:t>a</w:t>
      </w:r>
      <w:r w:rsidRPr="00946B4D">
        <w:t>nego lub jego obrońcy albo pokrzywdzonego lub jego pełnomocnika</w:t>
      </w:r>
      <w:r w:rsidR="004B7E04" w:rsidRPr="00946B4D">
        <w:t xml:space="preserve"> </w:t>
      </w:r>
      <w:r w:rsidRPr="00946B4D">
        <w:t>o umo</w:t>
      </w:r>
      <w:r w:rsidRPr="00946B4D">
        <w:t>ż</w:t>
      </w:r>
      <w:r w:rsidRPr="00946B4D">
        <w:t xml:space="preserve">liwienie końcowego zapoznania się z materiałami postępowania (art. 321 </w:t>
      </w:r>
      <w:r w:rsidRPr="00946B4D">
        <w:lastRenderedPageBreak/>
        <w:t>§</w:t>
      </w:r>
      <w:r w:rsidR="00BF039E">
        <w:t> </w:t>
      </w:r>
      <w:r w:rsidRPr="00946B4D">
        <w:t>1</w:t>
      </w:r>
      <w:r w:rsidR="00BF039E">
        <w:t> </w:t>
      </w:r>
      <w:r w:rsidRPr="00946B4D">
        <w:t>k.p.k.). Organ procesowy nie może wyznaczyć zapoznania się przez p</w:t>
      </w:r>
      <w:r w:rsidRPr="00946B4D">
        <w:t>o</w:t>
      </w:r>
      <w:r w:rsidRPr="00946B4D">
        <w:t>dejrzanego lub pokrzywdzonego z aktami z urzędu.</w:t>
      </w:r>
      <w:r w:rsidR="004B7E04" w:rsidRPr="00946B4D">
        <w:t xml:space="preserve"> </w:t>
      </w:r>
    </w:p>
    <w:p w:rsidR="002F49F8" w:rsidRPr="00946B4D" w:rsidRDefault="002F49F8" w:rsidP="00700D96">
      <w:pPr>
        <w:pStyle w:val="podtytulprokuratury"/>
      </w:pPr>
      <w:r w:rsidRPr="00946B4D">
        <w:t>II. Wniosek o umożliwienie końcowego zapoznania się z mat</w:t>
      </w:r>
      <w:r w:rsidRPr="00946B4D">
        <w:t>e</w:t>
      </w:r>
      <w:r w:rsidRPr="00946B4D">
        <w:t>riałami</w:t>
      </w:r>
      <w:r w:rsidR="004B7E04" w:rsidRPr="00946B4D">
        <w:t xml:space="preserve"> </w:t>
      </w:r>
      <w:r w:rsidRPr="00946B4D">
        <w:t>p</w:t>
      </w:r>
      <w:r w:rsidRPr="00946B4D">
        <w:t>o</w:t>
      </w:r>
      <w:r w:rsidRPr="00946B4D">
        <w:t>stępowania przygotowawczego</w:t>
      </w:r>
    </w:p>
    <w:p w:rsidR="002F49F8" w:rsidRPr="00946B4D" w:rsidRDefault="002F49F8" w:rsidP="004B7E04">
      <w:pPr>
        <w:pStyle w:val="tekstprokuratury"/>
      </w:pPr>
      <w:r w:rsidRPr="00946B4D">
        <w:t>O prawie do końcowego zapoznania się z materiałami postępowania przygotowawczego poucza się podejrzanego przed pierwszym przesłuch</w:t>
      </w:r>
      <w:r w:rsidRPr="00946B4D">
        <w:t>a</w:t>
      </w:r>
      <w:r w:rsidRPr="00946B4D">
        <w:t>niem (art. 300 § 1 k.p.k.). Pokrzywdzonego zaś poucza się</w:t>
      </w:r>
      <w:r w:rsidR="004B7E04" w:rsidRPr="00946B4D">
        <w:t xml:space="preserve"> </w:t>
      </w:r>
      <w:r w:rsidRPr="00946B4D">
        <w:t>również przed pierwszym przesłuchaniem o posiadaniu statusu strony procesowej w p</w:t>
      </w:r>
      <w:r w:rsidRPr="00946B4D">
        <w:t>o</w:t>
      </w:r>
      <w:r w:rsidRPr="00946B4D">
        <w:t>stępowaniu przygotowawczym oraz o wynikających z tego uprawni</w:t>
      </w:r>
      <w:r w:rsidRPr="00946B4D">
        <w:t>e</w:t>
      </w:r>
      <w:r w:rsidRPr="00946B4D">
        <w:t>niach, w</w:t>
      </w:r>
      <w:r w:rsidR="00554DA7" w:rsidRPr="00946B4D">
        <w:t> </w:t>
      </w:r>
      <w:r w:rsidRPr="00946B4D">
        <w:t>tym o prawie do końcowego zapoznania się z materiałami post</w:t>
      </w:r>
      <w:r w:rsidRPr="00946B4D">
        <w:t>ę</w:t>
      </w:r>
      <w:r w:rsidRPr="00946B4D">
        <w:t>powania przygotowawczego (art. 300 § 1 k.p.k.). Pouczenie</w:t>
      </w:r>
      <w:r w:rsidR="004B7E04" w:rsidRPr="00946B4D">
        <w:t xml:space="preserve"> </w:t>
      </w:r>
      <w:r w:rsidRPr="00946B4D">
        <w:t>wręcza się podejrzan</w:t>
      </w:r>
      <w:r w:rsidRPr="00946B4D">
        <w:t>e</w:t>
      </w:r>
      <w:r w:rsidRPr="00946B4D">
        <w:t xml:space="preserve">mu i pokrzywdzonemu na piśmie, którzy otrzymanie pouczenia potwierdzają podpisem (art. 300 § </w:t>
      </w:r>
      <w:smartTag w:uri="urn:schemas-microsoft-com:office:smarttags" w:element="metricconverter">
        <w:smartTagPr>
          <w:attr w:name="ProductID" w:val="1 in"/>
        </w:smartTagPr>
        <w:r w:rsidRPr="00946B4D">
          <w:t xml:space="preserve">1 </w:t>
        </w:r>
        <w:r w:rsidRPr="00946B4D">
          <w:rPr>
            <w:i/>
          </w:rPr>
          <w:t>in</w:t>
        </w:r>
      </w:smartTag>
      <w:r w:rsidRPr="00946B4D">
        <w:rPr>
          <w:i/>
        </w:rPr>
        <w:t xml:space="preserve"> fine</w:t>
      </w:r>
      <w:r w:rsidR="004B7E04" w:rsidRPr="00946B4D">
        <w:t xml:space="preserve"> </w:t>
      </w:r>
      <w:r w:rsidRPr="00946B4D">
        <w:t xml:space="preserve">i § </w:t>
      </w:r>
      <w:smartTag w:uri="urn:schemas-microsoft-com:office:smarttags" w:element="metricconverter">
        <w:smartTagPr>
          <w:attr w:name="ProductID" w:val="2 in"/>
        </w:smartTagPr>
        <w:r w:rsidRPr="00946B4D">
          <w:t xml:space="preserve">2 </w:t>
        </w:r>
        <w:r w:rsidRPr="00946B4D">
          <w:rPr>
            <w:i/>
          </w:rPr>
          <w:t>in</w:t>
        </w:r>
      </w:smartTag>
      <w:r w:rsidRPr="00946B4D">
        <w:rPr>
          <w:i/>
        </w:rPr>
        <w:t xml:space="preserve"> fine</w:t>
      </w:r>
      <w:r w:rsidRPr="00946B4D">
        <w:t xml:space="preserve"> k.p.k.). </w:t>
      </w:r>
    </w:p>
    <w:p w:rsidR="002F49F8" w:rsidRPr="00946B4D" w:rsidRDefault="002F49F8" w:rsidP="004B7E04">
      <w:pPr>
        <w:pStyle w:val="tekstprokuratury"/>
      </w:pPr>
      <w:r w:rsidRPr="00946B4D">
        <w:t>W kodeksie postępowania karnego nie jest określony termin, zarówno</w:t>
      </w:r>
      <w:r w:rsidR="004B7E04" w:rsidRPr="00946B4D">
        <w:t xml:space="preserve"> </w:t>
      </w:r>
      <w:r w:rsidRPr="00946B4D">
        <w:t>początkowy, jak i końcowy do złożenia takiego wniosku. W literaturze tra</w:t>
      </w:r>
      <w:r w:rsidRPr="00946B4D">
        <w:t>f</w:t>
      </w:r>
      <w:r w:rsidRPr="00946B4D">
        <w:t>nie przyjmuje się, że wniosek może być złożony zaraz po pouczeniu podejrz</w:t>
      </w:r>
      <w:r w:rsidRPr="00946B4D">
        <w:t>a</w:t>
      </w:r>
      <w:r w:rsidRPr="00946B4D">
        <w:t>nego o tym uprawnieniu, co – jak już wskazano – ma miejsce przed pier</w:t>
      </w:r>
      <w:r w:rsidRPr="00946B4D">
        <w:t>w</w:t>
      </w:r>
      <w:r w:rsidRPr="00946B4D">
        <w:t>szym jego przesłuchaniem (art. 300 § 1 k.p.k.)</w:t>
      </w:r>
      <w:r w:rsidRPr="00946B4D">
        <w:rPr>
          <w:rStyle w:val="Odwoanieprzypisudolnego"/>
          <w:rFonts w:ascii="Arial" w:hAnsi="Arial" w:cs="Arial"/>
          <w:szCs w:val="21"/>
        </w:rPr>
        <w:footnoteReference w:id="5"/>
      </w:r>
      <w:r w:rsidRPr="00946B4D">
        <w:t xml:space="preserve"> do czasu wydania postan</w:t>
      </w:r>
      <w:r w:rsidRPr="00946B4D">
        <w:t>o</w:t>
      </w:r>
      <w:r w:rsidRPr="00946B4D">
        <w:t>wienia o zamknięciu śledztwa</w:t>
      </w:r>
      <w:r w:rsidRPr="00946B4D">
        <w:rPr>
          <w:rStyle w:val="Odwoanieprzypisudolnego"/>
          <w:rFonts w:ascii="Arial" w:hAnsi="Arial" w:cs="Arial"/>
          <w:szCs w:val="21"/>
        </w:rPr>
        <w:footnoteReference w:id="6"/>
      </w:r>
      <w:r w:rsidR="00946B4D" w:rsidRPr="00946B4D">
        <w:t>.</w:t>
      </w:r>
      <w:r w:rsidRPr="00946B4D">
        <w:t xml:space="preserve"> Uzasadniając pierwszy z tych terminów</w:t>
      </w:r>
      <w:r w:rsidR="0091305D">
        <w:t>,</w:t>
      </w:r>
      <w:r w:rsidRPr="00946B4D">
        <w:t xml:space="preserve"> z</w:t>
      </w:r>
      <w:r w:rsidRPr="00946B4D">
        <w:t>a</w:t>
      </w:r>
      <w:r w:rsidRPr="00946B4D">
        <w:t>sadnie podkreśla się, że organ prowadzący postępowanie ma rozeznanie, w</w:t>
      </w:r>
      <w:r w:rsidR="00554DA7" w:rsidRPr="00946B4D">
        <w:t> </w:t>
      </w:r>
      <w:r w:rsidRPr="00946B4D">
        <w:t>jakim momencie zaistnieje podstawa do zamknięcia tego postępowania</w:t>
      </w:r>
      <w:r w:rsidR="0091305D">
        <w:t>,</w:t>
      </w:r>
      <w:r w:rsidRPr="00946B4D">
        <w:t xml:space="preserve"> i</w:t>
      </w:r>
      <w:r w:rsidR="00554DA7" w:rsidRPr="00946B4D">
        <w:t> </w:t>
      </w:r>
      <w:r w:rsidRPr="00946B4D">
        <w:t>jeżeli nagle ona powstanie, podejrzany może nie zdążyć go złożyć, a zatem w jego interesie leży,</w:t>
      </w:r>
      <w:r w:rsidR="00946B4D" w:rsidRPr="00946B4D">
        <w:t xml:space="preserve"> by uczynić to jak najwcześniej</w:t>
      </w:r>
      <w:r w:rsidRPr="00946B4D">
        <w:rPr>
          <w:rStyle w:val="Odwoanieprzypisudolnego"/>
          <w:rFonts w:ascii="Arial" w:hAnsi="Arial" w:cs="Arial"/>
          <w:szCs w:val="21"/>
        </w:rPr>
        <w:footnoteReference w:id="7"/>
      </w:r>
      <w:r w:rsidR="00946B4D" w:rsidRPr="00946B4D">
        <w:t>.</w:t>
      </w:r>
      <w:r w:rsidRPr="00946B4D">
        <w:t xml:space="preserve"> Nie jest trafny pogląd, że wniosek może być złożony do chwili zawiad</w:t>
      </w:r>
      <w:r w:rsidRPr="00946B4D">
        <w:t>o</w:t>
      </w:r>
      <w:r w:rsidRPr="00946B4D">
        <w:t>mienia osób uprawnionych do złożenia wniosku o zamknięciu śledztwa względnie do chwili ogłoszenia im takiego postanowienia</w:t>
      </w:r>
      <w:r w:rsidRPr="00946B4D">
        <w:rPr>
          <w:rStyle w:val="Odwoanieprzypisudolnego"/>
          <w:rFonts w:ascii="Arial" w:hAnsi="Arial" w:cs="Arial"/>
          <w:szCs w:val="21"/>
        </w:rPr>
        <w:footnoteReference w:id="8"/>
      </w:r>
      <w:r w:rsidR="00946B4D" w:rsidRPr="00946B4D">
        <w:t>.</w:t>
      </w:r>
      <w:r w:rsidR="004B7E04" w:rsidRPr="00946B4D">
        <w:t xml:space="preserve"> </w:t>
      </w:r>
      <w:r w:rsidRPr="00946B4D">
        <w:t>Zamknięcie śledztwa następuje w momencie w</w:t>
      </w:r>
      <w:r w:rsidRPr="00946B4D">
        <w:t>y</w:t>
      </w:r>
      <w:r w:rsidRPr="00946B4D">
        <w:t>dania postanowienia o jego zamkni</w:t>
      </w:r>
      <w:r w:rsidRPr="00946B4D">
        <w:t>ę</w:t>
      </w:r>
      <w:r w:rsidRPr="00946B4D">
        <w:t>ciu, a jego promulgacja ma drugorzędne znaczenie.</w:t>
      </w:r>
    </w:p>
    <w:p w:rsidR="002F49F8" w:rsidRPr="00946B4D" w:rsidRDefault="002F49F8" w:rsidP="004B7E04">
      <w:pPr>
        <w:pStyle w:val="tekstprokuratury"/>
      </w:pPr>
      <w:r w:rsidRPr="00946B4D">
        <w:t>Jeśli chodzi o pokrzywdzonego</w:t>
      </w:r>
      <w:r w:rsidR="0091305D">
        <w:t>,</w:t>
      </w:r>
      <w:r w:rsidRPr="00946B4D">
        <w:t xml:space="preserve"> to może </w:t>
      </w:r>
      <w:r w:rsidR="0091305D">
        <w:t xml:space="preserve">on </w:t>
      </w:r>
      <w:r w:rsidRPr="00946B4D">
        <w:t>złożyć wniosek zaraz po wszczęciu postępowania przygotowawczego, skoro od samego jego począ</w:t>
      </w:r>
      <w:r w:rsidRPr="00946B4D">
        <w:t>t</w:t>
      </w:r>
      <w:r w:rsidRPr="00946B4D">
        <w:t>ku ma taki status i nie musi oczekiwać do pouczenia go o posiadaniu statusu strony procesowej w postępowaniu przygotowawczym</w:t>
      </w:r>
      <w:r w:rsidR="004B7E04" w:rsidRPr="00946B4D">
        <w:t xml:space="preserve"> </w:t>
      </w:r>
      <w:r w:rsidRPr="00946B4D">
        <w:t>i prawie do końcow</w:t>
      </w:r>
      <w:r w:rsidRPr="00946B4D">
        <w:t>e</w:t>
      </w:r>
      <w:r w:rsidRPr="00946B4D">
        <w:lastRenderedPageBreak/>
        <w:t>go zapoznania się z materiałami postępowania przygotowawcz</w:t>
      </w:r>
      <w:r w:rsidRPr="00946B4D">
        <w:t>e</w:t>
      </w:r>
      <w:r w:rsidRPr="00946B4D">
        <w:t>go (art. 300 § 2 k.p.k.).</w:t>
      </w:r>
      <w:r w:rsidR="004B7E04" w:rsidRPr="00946B4D">
        <w:t xml:space="preserve"> </w:t>
      </w:r>
    </w:p>
    <w:p w:rsidR="002F49F8" w:rsidRPr="00946B4D" w:rsidRDefault="002F49F8" w:rsidP="00FD03C3">
      <w:pPr>
        <w:pStyle w:val="podtytulprokuratury"/>
      </w:pPr>
      <w:r w:rsidRPr="00946B4D">
        <w:t>III. Czynności zapoznania</w:t>
      </w:r>
      <w:r w:rsidR="004B7E04" w:rsidRPr="00946B4D">
        <w:t xml:space="preserve"> </w:t>
      </w:r>
      <w:r w:rsidRPr="00946B4D">
        <w:t>z materiałami postępowania przyg</w:t>
      </w:r>
      <w:r w:rsidRPr="00946B4D">
        <w:t>o</w:t>
      </w:r>
      <w:r w:rsidRPr="00946B4D">
        <w:t>towawcz</w:t>
      </w:r>
      <w:r w:rsidRPr="00946B4D">
        <w:t>e</w:t>
      </w:r>
      <w:r w:rsidRPr="00946B4D">
        <w:t>go</w:t>
      </w:r>
    </w:p>
    <w:p w:rsidR="002F49F8" w:rsidRPr="00946B4D" w:rsidRDefault="002F49F8" w:rsidP="004B7E04">
      <w:pPr>
        <w:pStyle w:val="tekstprokuratury"/>
      </w:pPr>
      <w:r w:rsidRPr="0091305D">
        <w:rPr>
          <w:spacing w:val="-4"/>
        </w:rPr>
        <w:t>Końcowe zapoznanie się z materiałami postępowania przygotowawcz</w:t>
      </w:r>
      <w:r w:rsidRPr="0091305D">
        <w:rPr>
          <w:spacing w:val="-4"/>
        </w:rPr>
        <w:t>e</w:t>
      </w:r>
      <w:r w:rsidRPr="0091305D">
        <w:rPr>
          <w:spacing w:val="-4"/>
        </w:rPr>
        <w:t>go</w:t>
      </w:r>
      <w:r w:rsidRPr="00946B4D">
        <w:t xml:space="preserve"> – zgodnie z art. 321 § 1 k.p.k. – składa się z kilku czynności i obejmuje: </w:t>
      </w:r>
    </w:p>
    <w:p w:rsidR="002F49F8" w:rsidRPr="00946B4D" w:rsidRDefault="002F49F8" w:rsidP="00FD03C3">
      <w:pPr>
        <w:pStyle w:val="tekstprokuratury"/>
        <w:numPr>
          <w:ilvl w:val="0"/>
          <w:numId w:val="6"/>
        </w:numPr>
        <w:tabs>
          <w:tab w:val="clear" w:pos="1004"/>
          <w:tab w:val="num" w:pos="284"/>
        </w:tabs>
        <w:ind w:left="284" w:hanging="284"/>
      </w:pPr>
      <w:r w:rsidRPr="00946B4D">
        <w:t>wyznaczenie terminu do zapoznania się podejrzanego i jego obrońcy oraz pokrzywdzonego i jego pełnomocnika z materiałami post</w:t>
      </w:r>
      <w:r w:rsidRPr="00946B4D">
        <w:t>ę</w:t>
      </w:r>
      <w:r w:rsidRPr="00946B4D">
        <w:t>powania;</w:t>
      </w:r>
    </w:p>
    <w:p w:rsidR="002F49F8" w:rsidRPr="00946B4D" w:rsidRDefault="002F49F8" w:rsidP="00FD03C3">
      <w:pPr>
        <w:pStyle w:val="tekstprokuratury"/>
        <w:numPr>
          <w:ilvl w:val="0"/>
          <w:numId w:val="6"/>
        </w:numPr>
        <w:tabs>
          <w:tab w:val="clear" w:pos="1004"/>
          <w:tab w:val="num" w:pos="284"/>
        </w:tabs>
        <w:ind w:left="284" w:hanging="284"/>
      </w:pPr>
      <w:r w:rsidRPr="00946B4D">
        <w:t>powiadomienie ich o terminie i możliwości zapoznania się z n</w:t>
      </w:r>
      <w:r w:rsidRPr="00946B4D">
        <w:t>i</w:t>
      </w:r>
      <w:r w:rsidRPr="00946B4D">
        <w:t>mi;</w:t>
      </w:r>
    </w:p>
    <w:p w:rsidR="002F49F8" w:rsidRPr="00946B4D" w:rsidRDefault="002F49F8" w:rsidP="00FD03C3">
      <w:pPr>
        <w:pStyle w:val="tekstprokuratury"/>
        <w:numPr>
          <w:ilvl w:val="0"/>
          <w:numId w:val="6"/>
        </w:numPr>
        <w:tabs>
          <w:tab w:val="clear" w:pos="1004"/>
          <w:tab w:val="num" w:pos="284"/>
        </w:tabs>
        <w:ind w:left="284" w:hanging="284"/>
      </w:pPr>
      <w:r w:rsidRPr="00946B4D">
        <w:t xml:space="preserve">udostępnienie im akt w celu zapoznania się z nimi; </w:t>
      </w:r>
    </w:p>
    <w:p w:rsidR="002F49F8" w:rsidRPr="00946B4D" w:rsidRDefault="002F49F8" w:rsidP="00FD03C3">
      <w:pPr>
        <w:pStyle w:val="tekstprokuratury"/>
        <w:numPr>
          <w:ilvl w:val="0"/>
          <w:numId w:val="6"/>
        </w:numPr>
        <w:tabs>
          <w:tab w:val="clear" w:pos="1004"/>
          <w:tab w:val="num" w:pos="284"/>
        </w:tabs>
        <w:ind w:left="284" w:hanging="284"/>
      </w:pPr>
      <w:r w:rsidRPr="00946B4D">
        <w:t>poinformowanie, jakie materiały z tych akt będą przekazane sądowi wraz z aktem oskarżenia, tj. związane z kwestią odpowiedzialności osób wskazanych w tym akcie za czyny w nim zarzucane: 1) postanowienia i</w:t>
      </w:r>
      <w:r w:rsidR="00554DA7" w:rsidRPr="00946B4D">
        <w:t> </w:t>
      </w:r>
      <w:r w:rsidRPr="00946B4D">
        <w:t>zarządzenia dotyczące tych osób wydane w toku postępowania, 2) pr</w:t>
      </w:r>
      <w:r w:rsidRPr="00946B4D">
        <w:t>o</w:t>
      </w:r>
      <w:r w:rsidRPr="00946B4D">
        <w:t>tokoły z czynności dowodowych i załączniki do nich przewidziane przez ustawę, 3) opinie i dokumenty urz</w:t>
      </w:r>
      <w:r w:rsidRPr="00946B4D">
        <w:t>ę</w:t>
      </w:r>
      <w:r w:rsidRPr="00946B4D">
        <w:t>dowe i prywatne uzyskane lub złożone do akt sprawy (art. 334 § 1 k.p.k.);</w:t>
      </w:r>
    </w:p>
    <w:p w:rsidR="002F49F8" w:rsidRPr="00946B4D" w:rsidRDefault="002F49F8" w:rsidP="00FD03C3">
      <w:pPr>
        <w:pStyle w:val="tekstprokuratury"/>
        <w:numPr>
          <w:ilvl w:val="0"/>
          <w:numId w:val="6"/>
        </w:numPr>
        <w:tabs>
          <w:tab w:val="clear" w:pos="1004"/>
          <w:tab w:val="num" w:pos="284"/>
        </w:tabs>
        <w:ind w:left="284" w:hanging="284"/>
      </w:pPr>
      <w:r w:rsidRPr="00946B4D">
        <w:t>pouczenie o możliwości składania, w</w:t>
      </w:r>
      <w:r w:rsidR="004B7E04" w:rsidRPr="00946B4D">
        <w:t xml:space="preserve"> </w:t>
      </w:r>
      <w:r w:rsidRPr="00946B4D">
        <w:t>terminie 3 dni od dnia z</w:t>
      </w:r>
      <w:r w:rsidRPr="00946B4D">
        <w:t>a</w:t>
      </w:r>
      <w:r w:rsidRPr="00946B4D">
        <w:t>poznania się z materiałami postępowania, wniosków o uzupełnienie śledztwa</w:t>
      </w:r>
      <w:r w:rsidR="002A5540" w:rsidRPr="00946B4D">
        <w:t xml:space="preserve"> lub </w:t>
      </w:r>
      <w:r w:rsidR="00946B4D" w:rsidRPr="00946B4D">
        <w:t>dochodzenia</w:t>
      </w:r>
      <w:r w:rsidR="002A5540" w:rsidRPr="00946B4D">
        <w:t xml:space="preserve"> albo </w:t>
      </w:r>
      <w:r w:rsidRPr="00946B4D">
        <w:t>materiału dowodowego, który ma być przekazany s</w:t>
      </w:r>
      <w:r w:rsidRPr="00946B4D">
        <w:t>ą</w:t>
      </w:r>
      <w:r w:rsidRPr="00946B4D">
        <w:t>dowi wraz z aktem oskarżenia, o określone dokumenty zawarte w a</w:t>
      </w:r>
      <w:r w:rsidRPr="00946B4D">
        <w:t>k</w:t>
      </w:r>
      <w:r w:rsidRPr="00946B4D">
        <w:t>tach sprawy;</w:t>
      </w:r>
    </w:p>
    <w:p w:rsidR="002F49F8" w:rsidRPr="00946B4D" w:rsidRDefault="002F49F8" w:rsidP="00FD03C3">
      <w:pPr>
        <w:pStyle w:val="tekstprokuratury"/>
        <w:numPr>
          <w:ilvl w:val="0"/>
          <w:numId w:val="6"/>
        </w:numPr>
        <w:tabs>
          <w:tab w:val="clear" w:pos="1004"/>
          <w:tab w:val="num" w:pos="284"/>
        </w:tabs>
        <w:ind w:left="284" w:hanging="284"/>
      </w:pPr>
      <w:r w:rsidRPr="00946B4D">
        <w:t>sporządzenie protokołu zapoznania się podejrzanego lub pokrzywdzon</w:t>
      </w:r>
      <w:r w:rsidRPr="00946B4D">
        <w:t>e</w:t>
      </w:r>
      <w:r w:rsidRPr="00946B4D">
        <w:t>go z materiałami postępowania (art. 143 § 1 pkt 8 k.p.k.).</w:t>
      </w:r>
    </w:p>
    <w:p w:rsidR="002F49F8" w:rsidRPr="00946B4D" w:rsidRDefault="002F49F8" w:rsidP="00FD03C3">
      <w:pPr>
        <w:pStyle w:val="podtytul2prokuratury"/>
      </w:pPr>
      <w:r w:rsidRPr="00946B4D">
        <w:t>1. Wyznaczenie terminu do zapoznania</w:t>
      </w:r>
      <w:r w:rsidR="004B7E04" w:rsidRPr="00946B4D">
        <w:t xml:space="preserve"> </w:t>
      </w:r>
    </w:p>
    <w:p w:rsidR="002F49F8" w:rsidRPr="00946B4D" w:rsidRDefault="002F49F8" w:rsidP="004B7E04">
      <w:pPr>
        <w:pStyle w:val="tekstprokuratury"/>
      </w:pPr>
      <w:r w:rsidRPr="00946B4D">
        <w:t>Wyznaczenie terminu do zapoznania się podejrzanego i jego obrońcy oraz pokrzywdzonego i jego pełnomocnika</w:t>
      </w:r>
      <w:r w:rsidR="004B7E04" w:rsidRPr="00946B4D">
        <w:t xml:space="preserve"> </w:t>
      </w:r>
      <w:r w:rsidRPr="00946B4D">
        <w:t>z materiałami postępowania jest możliwe dopiero wówczas, gdy ocena</w:t>
      </w:r>
      <w:r w:rsidR="004B7E04" w:rsidRPr="00946B4D">
        <w:t xml:space="preserve"> </w:t>
      </w:r>
      <w:r w:rsidRPr="00946B4D">
        <w:t>zebranego materiału dokonana przez organ procesowy wykazuje, że są podstawy do wniesienia aktu oskarżenia, skierowania wniosku o warunkowe umorzenie postępowania lub wniosku o</w:t>
      </w:r>
      <w:r w:rsidR="00554DA7" w:rsidRPr="00946B4D">
        <w:t> </w:t>
      </w:r>
      <w:r w:rsidRPr="00946B4D">
        <w:t>umorzenie postępowania i zastosowanie środków zabezpieczających. Nie ma potrzeby zapoznawania z materiałami postępowania w razie umorzenia postępowania przygotowawczego, które może nastąpić bez uprzedniego zapoznawania z materiałami postępowania (art. 322 §</w:t>
      </w:r>
      <w:r w:rsidR="0091305D">
        <w:t xml:space="preserve"> </w:t>
      </w:r>
      <w:smartTag w:uri="urn:schemas-microsoft-com:office:smarttags" w:element="metricconverter">
        <w:smartTagPr>
          <w:attr w:name="ProductID" w:val="1 in"/>
        </w:smartTagPr>
        <w:r w:rsidRPr="00946B4D">
          <w:t xml:space="preserve">1 </w:t>
        </w:r>
        <w:r w:rsidRPr="00946B4D">
          <w:rPr>
            <w:i/>
          </w:rPr>
          <w:t>in</w:t>
        </w:r>
      </w:smartTag>
      <w:r w:rsidRPr="00946B4D">
        <w:rPr>
          <w:i/>
        </w:rPr>
        <w:t xml:space="preserve"> fine</w:t>
      </w:r>
      <w:r w:rsidRPr="00946B4D">
        <w:t xml:space="preserve"> k.p.k.).</w:t>
      </w:r>
    </w:p>
    <w:p w:rsidR="002F49F8" w:rsidRPr="00946B4D" w:rsidRDefault="002F49F8" w:rsidP="004B7E04">
      <w:pPr>
        <w:pStyle w:val="tekstprokuratury"/>
      </w:pPr>
      <w:r w:rsidRPr="00946B4D">
        <w:t>Termin ten musi być wyznaczony z takim wyprzedzeniem, by od dnia d</w:t>
      </w:r>
      <w:r w:rsidRPr="00946B4D">
        <w:t>o</w:t>
      </w:r>
      <w:r w:rsidRPr="00946B4D">
        <w:t xml:space="preserve">ręczenia zawiadomienia o możliwości takiego zapoznania się upłynęło co najmniej 7 dni (art. 321 § 3 k.p.k.). Jest to minimalny termin, który musi być </w:t>
      </w:r>
      <w:r w:rsidRPr="00946B4D">
        <w:lastRenderedPageBreak/>
        <w:t>respektowany przez organ procesowy w każdym przypadku</w:t>
      </w:r>
      <w:r w:rsidRPr="00946B4D">
        <w:rPr>
          <w:rStyle w:val="Odwoanieprzypisudolnego"/>
          <w:rFonts w:ascii="Arial" w:hAnsi="Arial" w:cs="Arial"/>
          <w:szCs w:val="21"/>
        </w:rPr>
        <w:footnoteReference w:id="9"/>
      </w:r>
      <w:r w:rsidR="00FD03C3" w:rsidRPr="00946B4D">
        <w:t>.</w:t>
      </w:r>
      <w:r w:rsidRPr="00946B4D">
        <w:t xml:space="preserve"> Ma on chara</w:t>
      </w:r>
      <w:r w:rsidRPr="00946B4D">
        <w:t>k</w:t>
      </w:r>
      <w:r w:rsidRPr="00946B4D">
        <w:t>ter</w:t>
      </w:r>
      <w:r w:rsidR="004B7E04" w:rsidRPr="00946B4D">
        <w:t xml:space="preserve"> </w:t>
      </w:r>
      <w:r w:rsidRPr="00946B4D">
        <w:t>terminu instrukcyjnego; nie są przewidziane wprost skutki jego nied</w:t>
      </w:r>
      <w:r w:rsidRPr="00946B4D">
        <w:t>o</w:t>
      </w:r>
      <w:r w:rsidRPr="00946B4D">
        <w:t>trzymania. Jego naruszenie można rozpatrywać w płaszczyźnie względnej przyczyny odwoławczej (art. 438 pkt 2 k.p.k</w:t>
      </w:r>
      <w:r w:rsidRPr="00946B4D">
        <w:rPr>
          <w:i/>
        </w:rPr>
        <w:t xml:space="preserve">.). </w:t>
      </w:r>
      <w:r w:rsidRPr="00946B4D">
        <w:t>Niedotrzymanie</w:t>
      </w:r>
      <w:r w:rsidRPr="00946B4D">
        <w:rPr>
          <w:i/>
        </w:rPr>
        <w:t xml:space="preserve"> </w:t>
      </w:r>
      <w:r w:rsidRPr="00946B4D">
        <w:t>tego terminu upoważnia osobę mającą zapoznawać się z materiałami p</w:t>
      </w:r>
      <w:r w:rsidRPr="00946B4D">
        <w:t>o</w:t>
      </w:r>
      <w:r w:rsidRPr="00946B4D">
        <w:t>stępowania do odmowy udziału w tej czynności</w:t>
      </w:r>
      <w:r w:rsidR="004B7E04" w:rsidRPr="00946B4D">
        <w:t xml:space="preserve"> </w:t>
      </w:r>
      <w:r w:rsidRPr="00946B4D">
        <w:t>i żądania wyznaczenia</w:t>
      </w:r>
      <w:r w:rsidR="004B7E04" w:rsidRPr="00946B4D">
        <w:t xml:space="preserve"> </w:t>
      </w:r>
      <w:r w:rsidRPr="00946B4D">
        <w:t xml:space="preserve">nowego terminu. </w:t>
      </w:r>
    </w:p>
    <w:p w:rsidR="002F49F8" w:rsidRPr="0010233C" w:rsidRDefault="002F49F8" w:rsidP="004B7E04">
      <w:pPr>
        <w:pStyle w:val="tekstprokuratury"/>
        <w:rPr>
          <w:spacing w:val="-4"/>
        </w:rPr>
      </w:pPr>
      <w:r w:rsidRPr="00946B4D">
        <w:t>Nie ma przeszkód, by na wniosek tej osoby doszło do wcześniejszego</w:t>
      </w:r>
      <w:r w:rsidR="004B7E04" w:rsidRPr="00946B4D">
        <w:t xml:space="preserve"> </w:t>
      </w:r>
      <w:r w:rsidRPr="00946B4D">
        <w:t>zapoznania się z materiałami postępowania. Organ procesowy może wyr</w:t>
      </w:r>
      <w:r w:rsidRPr="00946B4D">
        <w:t>a</w:t>
      </w:r>
      <w:r w:rsidRPr="00946B4D">
        <w:t>zić na to zgodę, ale nie ma takiego obowiązku. Zbyt daleko idące jest twie</w:t>
      </w:r>
      <w:r w:rsidRPr="00946B4D">
        <w:t>r</w:t>
      </w:r>
      <w:r w:rsidRPr="00946B4D">
        <w:t>dzenie, że czynność ta nie może odbyć się przed upływem wyzn</w:t>
      </w:r>
      <w:r w:rsidRPr="00946B4D">
        <w:t>a</w:t>
      </w:r>
      <w:r w:rsidRPr="00946B4D">
        <w:t>czonego terminu</w:t>
      </w:r>
      <w:r w:rsidRPr="00946B4D">
        <w:rPr>
          <w:rStyle w:val="Odwoanieprzypisudolnego"/>
          <w:rFonts w:ascii="Arial" w:hAnsi="Arial" w:cs="Arial"/>
          <w:szCs w:val="21"/>
        </w:rPr>
        <w:footnoteReference w:id="10"/>
      </w:r>
      <w:r w:rsidR="00FD03C3" w:rsidRPr="00946B4D">
        <w:t>.</w:t>
      </w:r>
      <w:r w:rsidRPr="00946B4D">
        <w:t xml:space="preserve"> Termin ten jest ustanowiony w interesie podejrzanego i pokrzy</w:t>
      </w:r>
      <w:r w:rsidRPr="00946B4D">
        <w:t>w</w:t>
      </w:r>
      <w:r w:rsidRPr="00946B4D">
        <w:t>dzonego, by mogli przygotować się do tej czynności i jeśli wyraż</w:t>
      </w:r>
      <w:r w:rsidRPr="00946B4D">
        <w:t>a</w:t>
      </w:r>
      <w:r w:rsidRPr="00946B4D">
        <w:t xml:space="preserve">ją zgodę </w:t>
      </w:r>
      <w:r w:rsidRPr="0010233C">
        <w:rPr>
          <w:spacing w:val="-4"/>
        </w:rPr>
        <w:t>na wcześniejsze jej dokonanie, nie ma przeszkód</w:t>
      </w:r>
      <w:r w:rsidR="0010233C" w:rsidRPr="0010233C">
        <w:rPr>
          <w:spacing w:val="-4"/>
        </w:rPr>
        <w:t xml:space="preserve">, </w:t>
      </w:r>
      <w:r w:rsidRPr="0010233C">
        <w:rPr>
          <w:spacing w:val="-4"/>
        </w:rPr>
        <w:t>by została przeprowadz</w:t>
      </w:r>
      <w:r w:rsidRPr="0010233C">
        <w:rPr>
          <w:spacing w:val="-4"/>
        </w:rPr>
        <w:t>o</w:t>
      </w:r>
      <w:r w:rsidR="00FD03C3" w:rsidRPr="0010233C">
        <w:rPr>
          <w:spacing w:val="-4"/>
        </w:rPr>
        <w:t>na.</w:t>
      </w:r>
    </w:p>
    <w:p w:rsidR="002F49F8" w:rsidRPr="00946B4D" w:rsidRDefault="002F49F8" w:rsidP="00FD03C3">
      <w:pPr>
        <w:pStyle w:val="podtytul2prokuratury"/>
      </w:pPr>
      <w:r w:rsidRPr="00946B4D">
        <w:t>2. Powiadomienie o możliwości i</w:t>
      </w:r>
      <w:r w:rsidR="004B7E04" w:rsidRPr="00946B4D">
        <w:t xml:space="preserve"> </w:t>
      </w:r>
      <w:r w:rsidRPr="00946B4D">
        <w:t>terminie</w:t>
      </w:r>
      <w:r w:rsidR="004B7E04" w:rsidRPr="00946B4D">
        <w:t xml:space="preserve"> </w:t>
      </w:r>
      <w:r w:rsidRPr="00946B4D">
        <w:t xml:space="preserve">zapoznania </w:t>
      </w:r>
    </w:p>
    <w:p w:rsidR="002F49F8" w:rsidRPr="00946B4D" w:rsidRDefault="002F49F8" w:rsidP="004B7E04">
      <w:pPr>
        <w:pStyle w:val="tekstprokuratury"/>
      </w:pPr>
      <w:r w:rsidRPr="00946B4D">
        <w:t>Prowadzący postępowanie przygotowawcze obowiązany jest powi</w:t>
      </w:r>
      <w:r w:rsidRPr="00946B4D">
        <w:t>a</w:t>
      </w:r>
      <w:r w:rsidRPr="00946B4D">
        <w:t>domić wnioskującego o możliwości przejrzenia akt i terminie do zapoznania się z</w:t>
      </w:r>
      <w:r w:rsidR="00554DA7" w:rsidRPr="00946B4D">
        <w:t> </w:t>
      </w:r>
      <w:r w:rsidRPr="00946B4D">
        <w:t>nimi. W zawiadomieniu</w:t>
      </w:r>
      <w:r w:rsidR="004B7E04" w:rsidRPr="00946B4D">
        <w:t xml:space="preserve"> </w:t>
      </w:r>
      <w:r w:rsidRPr="00946B4D">
        <w:t>określa się termin i czynność, jaka ma być prz</w:t>
      </w:r>
      <w:r w:rsidRPr="00946B4D">
        <w:t>e</w:t>
      </w:r>
      <w:r w:rsidRPr="00946B4D">
        <w:t>prowadzona, tj. zapoznanie się z materiałami</w:t>
      </w:r>
      <w:r w:rsidR="004B7E04" w:rsidRPr="00946B4D">
        <w:t xml:space="preserve"> </w:t>
      </w:r>
      <w:r w:rsidRPr="00946B4D">
        <w:t>postępowania. Nie podaje się w nim</w:t>
      </w:r>
      <w:r w:rsidR="004B7E04" w:rsidRPr="00946B4D">
        <w:t xml:space="preserve"> </w:t>
      </w:r>
      <w:r w:rsidRPr="00946B4D">
        <w:t>informacji, jakie materiały z tych akt będą przekazane sądowi wraz z</w:t>
      </w:r>
      <w:r w:rsidR="00554DA7" w:rsidRPr="00946B4D">
        <w:t> </w:t>
      </w:r>
      <w:r w:rsidRPr="00946B4D">
        <w:t>aktem oskarżenia. Zostaje ona podana</w:t>
      </w:r>
      <w:r w:rsidR="004B7E04" w:rsidRPr="00946B4D">
        <w:t xml:space="preserve"> </w:t>
      </w:r>
      <w:r w:rsidRPr="00946B4D">
        <w:t>dopiero przy ud</w:t>
      </w:r>
      <w:r w:rsidRPr="00946B4D">
        <w:t>o</w:t>
      </w:r>
      <w:r w:rsidRPr="00946B4D">
        <w:t>stępnianiu akt.</w:t>
      </w:r>
    </w:p>
    <w:p w:rsidR="002F49F8" w:rsidRPr="00946B4D" w:rsidRDefault="002F49F8" w:rsidP="004B7E04">
      <w:pPr>
        <w:pStyle w:val="tekstprokuratury"/>
      </w:pPr>
      <w:r w:rsidRPr="00946B4D">
        <w:t>O terminie zapoznania się z materiałami postępowania zawiadamia się każdego obrońcę i pełnomocnika, jeżeli podejrzany lub pokrzywdzony ust</w:t>
      </w:r>
      <w:r w:rsidRPr="00946B4D">
        <w:t>a</w:t>
      </w:r>
      <w:r w:rsidRPr="00946B4D">
        <w:t>nowił kilku (art. 77 i art. 88 k.p.k.).</w:t>
      </w:r>
    </w:p>
    <w:p w:rsidR="002F49F8" w:rsidRPr="00946B4D" w:rsidRDefault="002F49F8" w:rsidP="004B7E04">
      <w:pPr>
        <w:pStyle w:val="tekstprokuratury"/>
      </w:pPr>
      <w:r w:rsidRPr="00946B4D">
        <w:t>Jeśli podejrzany i jego obrońca albo pokrzywdzony i jego pełnomocnik</w:t>
      </w:r>
      <w:r w:rsidR="004B7E04" w:rsidRPr="00946B4D">
        <w:t xml:space="preserve"> </w:t>
      </w:r>
      <w:r w:rsidRPr="00946B4D">
        <w:t>zostali powiadomieni o możliwości zapoznania się z materiałami</w:t>
      </w:r>
      <w:r w:rsidR="004B7E04" w:rsidRPr="00946B4D">
        <w:t xml:space="preserve"> </w:t>
      </w:r>
      <w:r w:rsidRPr="00946B4D">
        <w:t>postęp</w:t>
      </w:r>
      <w:r w:rsidRPr="00946B4D">
        <w:t>o</w:t>
      </w:r>
      <w:r w:rsidRPr="00946B4D">
        <w:t>wania w różnym czasie, termin ten liczy się od dnia późniejszego powiad</w:t>
      </w:r>
      <w:r w:rsidRPr="00946B4D">
        <w:t>o</w:t>
      </w:r>
      <w:r w:rsidRPr="00946B4D">
        <w:t>mienia; ustawa każdej z tych osób gwarantuje 7</w:t>
      </w:r>
      <w:r w:rsidR="00FD03C3" w:rsidRPr="00946B4D">
        <w:t>-</w:t>
      </w:r>
      <w:r w:rsidRPr="00946B4D">
        <w:t>dniowy termin. W art. 321 §</w:t>
      </w:r>
      <w:r w:rsidR="00946B4D" w:rsidRPr="00946B4D">
        <w:t> </w:t>
      </w:r>
      <w:r w:rsidRPr="00946B4D">
        <w:t>3 k.p.k. gwarancję tę wprost odniesiono</w:t>
      </w:r>
      <w:r w:rsidR="004B7E04" w:rsidRPr="00946B4D">
        <w:t xml:space="preserve"> </w:t>
      </w:r>
      <w:r w:rsidRPr="00946B4D">
        <w:t>do strony, obrońcy i pełnomocn</w:t>
      </w:r>
      <w:r w:rsidRPr="00946B4D">
        <w:t>i</w:t>
      </w:r>
      <w:r w:rsidRPr="00946B4D">
        <w:t>ka. Organ procesowy, wyznaczając termin zapoznania się z materiałami p</w:t>
      </w:r>
      <w:r w:rsidRPr="00946B4D">
        <w:t>o</w:t>
      </w:r>
      <w:r w:rsidRPr="00946B4D">
        <w:t>stępowania, powinien ustalić go z takim wyprzedzeniem, by osoby upra</w:t>
      </w:r>
      <w:r w:rsidRPr="00946B4D">
        <w:t>w</w:t>
      </w:r>
      <w:r w:rsidRPr="00946B4D">
        <w:t>nione otrzymały</w:t>
      </w:r>
      <w:r w:rsidR="004B7E04" w:rsidRPr="00946B4D">
        <w:t xml:space="preserve"> </w:t>
      </w:r>
      <w:r w:rsidRPr="00946B4D">
        <w:t>zawi</w:t>
      </w:r>
      <w:r w:rsidRPr="00946B4D">
        <w:t>a</w:t>
      </w:r>
      <w:r w:rsidRPr="00946B4D">
        <w:t>domienie o nim co najmniej 7 dni wcześniej. Powinien zatem brać pod uwagę</w:t>
      </w:r>
      <w:r w:rsidR="004B7E04" w:rsidRPr="00946B4D">
        <w:t xml:space="preserve"> </w:t>
      </w:r>
      <w:r w:rsidRPr="00946B4D">
        <w:t>możliwość dotarcia do nich skutecznego zawiad</w:t>
      </w:r>
      <w:r w:rsidRPr="00946B4D">
        <w:t>o</w:t>
      </w:r>
      <w:r w:rsidRPr="00946B4D">
        <w:t>mienia ze znacznym nawet opóźnieniem. Tak może być w wypadku tzw. d</w:t>
      </w:r>
      <w:r w:rsidRPr="00946B4D">
        <w:t>o</w:t>
      </w:r>
      <w:r w:rsidRPr="00946B4D">
        <w:t>ręczenia zastępczego, bowiem w razie niemożności doręczenia pisma os</w:t>
      </w:r>
      <w:r w:rsidRPr="00946B4D">
        <w:t>o</w:t>
      </w:r>
      <w:r w:rsidRPr="00946B4D">
        <w:t>biście adresatowi, jego dorosłemu domownikowi lub administracji domu, d</w:t>
      </w:r>
      <w:r w:rsidRPr="00946B4D">
        <w:t>o</w:t>
      </w:r>
      <w:r w:rsidRPr="00946B4D">
        <w:lastRenderedPageBreak/>
        <w:t>zorcy domu lub sołtysowi, pismo przesłane za pośrednictwem operatora pocztowego pozostawia się w najbliższej placówce pocztowej operatora p</w:t>
      </w:r>
      <w:r w:rsidRPr="00946B4D">
        <w:t>u</w:t>
      </w:r>
      <w:r w:rsidRPr="00946B4D">
        <w:t>blicznego, a</w:t>
      </w:r>
      <w:r w:rsidR="0010233C">
        <w:t> </w:t>
      </w:r>
      <w:r w:rsidRPr="00946B4D">
        <w:t>przesł</w:t>
      </w:r>
      <w:r w:rsidRPr="00946B4D">
        <w:t>a</w:t>
      </w:r>
      <w:r w:rsidRPr="00946B4D">
        <w:t>ne w</w:t>
      </w:r>
      <w:r w:rsidR="00554DA7" w:rsidRPr="00946B4D">
        <w:t> </w:t>
      </w:r>
      <w:r w:rsidRPr="00946B4D">
        <w:t>inny sposób w jednostce Policji albo we właściwym urzędzie gminy. O pozostawieniu pisma doręczający umieszcza zawiad</w:t>
      </w:r>
      <w:r w:rsidRPr="00946B4D">
        <w:t>o</w:t>
      </w:r>
      <w:r w:rsidRPr="00946B4D">
        <w:t>mienie w</w:t>
      </w:r>
      <w:r w:rsidR="0010233C">
        <w:t> </w:t>
      </w:r>
      <w:r w:rsidRPr="00946B4D">
        <w:t>skrzynce do doręczania korespondencji bądź na drzwiach mies</w:t>
      </w:r>
      <w:r w:rsidRPr="00946B4D">
        <w:t>z</w:t>
      </w:r>
      <w:r w:rsidRPr="00946B4D">
        <w:t>kania adresata lub w innym widocznym miejscu ze wskazaniem, gdzie i ki</w:t>
      </w:r>
      <w:r w:rsidRPr="00946B4D">
        <w:t>e</w:t>
      </w:r>
      <w:r w:rsidRPr="00946B4D">
        <w:t>dy pismo pozostawiono</w:t>
      </w:r>
      <w:r w:rsidR="0091305D">
        <w:t>,</w:t>
      </w:r>
      <w:r w:rsidRPr="00946B4D">
        <w:t xml:space="preserve"> oraz że należy je odebrać w ciągu 7 dni; w razie bezskutec</w:t>
      </w:r>
      <w:r w:rsidRPr="00946B4D">
        <w:t>z</w:t>
      </w:r>
      <w:r w:rsidRPr="00946B4D">
        <w:t>nego upływu tego terminu, czynność zawiadomienia powtarza się jeden raz (art. 133 § 1 i</w:t>
      </w:r>
      <w:r w:rsidR="00554DA7" w:rsidRPr="00946B4D">
        <w:t> </w:t>
      </w:r>
      <w:r w:rsidRPr="00946B4D">
        <w:t>2 k.p.k.). W razie zastosowania tego trybu doręcz</w:t>
      </w:r>
      <w:r w:rsidRPr="00946B4D">
        <w:t>e</w:t>
      </w:r>
      <w:r w:rsidRPr="00946B4D">
        <w:t>nia do dotrzymania te</w:t>
      </w:r>
      <w:r w:rsidRPr="00946B4D">
        <w:t>r</w:t>
      </w:r>
      <w:r w:rsidRPr="00946B4D">
        <w:t>minu z art.321 § 3 k.p.k. zawiadomienie powinno być wysłane z</w:t>
      </w:r>
      <w:r w:rsidR="0010233C">
        <w:t> </w:t>
      </w:r>
      <w:r w:rsidRPr="00946B4D">
        <w:t>wyprzedzeniem większym niż 21 dni. Okres ten może być skróc</w:t>
      </w:r>
      <w:r w:rsidRPr="00946B4D">
        <w:t>o</w:t>
      </w:r>
      <w:r w:rsidRPr="00946B4D">
        <w:t>ny w r</w:t>
      </w:r>
      <w:r w:rsidRPr="00946B4D">
        <w:t>a</w:t>
      </w:r>
      <w:r w:rsidRPr="00946B4D">
        <w:t>zie doręczenia zawiadomienia za pośrednictwem telefaksu lub poczty ele</w:t>
      </w:r>
      <w:r w:rsidRPr="00946B4D">
        <w:t>k</w:t>
      </w:r>
      <w:r w:rsidRPr="00946B4D">
        <w:t>tronicznej (art.</w:t>
      </w:r>
      <w:r w:rsidR="00554DA7" w:rsidRPr="00946B4D">
        <w:t> </w:t>
      </w:r>
      <w:r w:rsidRPr="00946B4D">
        <w:t>132 § 3 k.p.k.), co nie zawsze jest możliwe.</w:t>
      </w:r>
    </w:p>
    <w:p w:rsidR="002F49F8" w:rsidRPr="00946B4D" w:rsidRDefault="002F49F8" w:rsidP="008550DE">
      <w:pPr>
        <w:pStyle w:val="podtytul2prokuratury"/>
      </w:pPr>
      <w:r w:rsidRPr="00946B4D">
        <w:t>3. Udział podejrzanego lub pokrzywdzonego w zapoznaniu</w:t>
      </w:r>
    </w:p>
    <w:p w:rsidR="002F49F8" w:rsidRPr="00946B4D" w:rsidRDefault="002F49F8" w:rsidP="004B7E04">
      <w:pPr>
        <w:pStyle w:val="tekstprokuratury"/>
      </w:pPr>
      <w:r w:rsidRPr="00946B4D">
        <w:t>Zapoznanie się przez podejrzanego i pokrzywdzonego z materiałami p</w:t>
      </w:r>
      <w:r w:rsidRPr="00946B4D">
        <w:t>o</w:t>
      </w:r>
      <w:r w:rsidRPr="00946B4D">
        <w:t>stępowania – jak już wskazywano – jest ich prawem</w:t>
      </w:r>
      <w:r w:rsidRPr="00946B4D">
        <w:rPr>
          <w:rStyle w:val="Odwoanieprzypisudolnego"/>
          <w:rFonts w:ascii="Arial" w:hAnsi="Arial" w:cs="Arial"/>
          <w:szCs w:val="21"/>
        </w:rPr>
        <w:footnoteReference w:id="11"/>
      </w:r>
      <w:r w:rsidRPr="00946B4D">
        <w:t>. Nie mają obowiązku brać w nim udziału. W związku z tym nieusprawiedliwione niestawiennictwo podejrzanego, pokrzywdzonego, obrońcy lub pełnomocnika w wyznaczonym terminie, mimo prawidłowego doręczenia im zawiadomienia, nie tamuje da</w:t>
      </w:r>
      <w:r w:rsidRPr="00946B4D">
        <w:t>l</w:t>
      </w:r>
      <w:r w:rsidRPr="00946B4D">
        <w:t xml:space="preserve">szego postępowania (art. 321 § 4 k.p.k.). </w:t>
      </w:r>
    </w:p>
    <w:p w:rsidR="002F49F8" w:rsidRPr="00946B4D" w:rsidRDefault="002F49F8" w:rsidP="004B7E04">
      <w:pPr>
        <w:pStyle w:val="tekstprokuratury"/>
      </w:pPr>
      <w:r w:rsidRPr="00946B4D">
        <w:t>Nieusprawiedliwione niestawiennictwo zachodzi wtedy, gdy podejrzany lub pokrzywdzony został prawidłowo zawiadomiony o czasie i miejscu tej czynności, a nadto nie usprawiedliwił niestawiennictwa. Pokwitowanie zwrotne odbioru zawiadomienia stanowi podstawę do oceny, czy zawiad</w:t>
      </w:r>
      <w:r w:rsidRPr="00946B4D">
        <w:t>o</w:t>
      </w:r>
      <w:r w:rsidRPr="00946B4D">
        <w:t>mienie</w:t>
      </w:r>
      <w:r w:rsidR="004B7E04" w:rsidRPr="00946B4D">
        <w:t xml:space="preserve"> </w:t>
      </w:r>
      <w:r w:rsidRPr="00946B4D">
        <w:t>zostało prawidłowo doręczone. Doręczenia nie można utożsamiać z</w:t>
      </w:r>
      <w:r w:rsidR="00554DA7" w:rsidRPr="00946B4D">
        <w:t> </w:t>
      </w:r>
      <w:r w:rsidRPr="00946B4D">
        <w:t>powzięciem wiadomości; ważne jest nie to, czy podejrzany lub pokrzy</w:t>
      </w:r>
      <w:r w:rsidRPr="00946B4D">
        <w:t>w</w:t>
      </w:r>
      <w:r w:rsidRPr="00946B4D">
        <w:t>dzony wiedział o terminie i miejscu zaznajomienia, lecz to, czy został praw</w:t>
      </w:r>
      <w:r w:rsidRPr="00946B4D">
        <w:t>i</w:t>
      </w:r>
      <w:r w:rsidRPr="00946B4D">
        <w:t>dłowo powiadomiony. Jeżeli podejrzany usprawiedliwi swe niestawiennictwo i wnosi o nieprzeprowadzenie tej czynności, należy wyznaczyć nowy termin zapoznania go z materiałami postępowania (art. 117 § 2 k.p.k.). W literat</w:t>
      </w:r>
      <w:r w:rsidRPr="00946B4D">
        <w:t>u</w:t>
      </w:r>
      <w:r w:rsidRPr="00946B4D">
        <w:t>rze twierdzi się, że można nie przeprowadzać tej czynności,</w:t>
      </w:r>
      <w:r w:rsidR="004B7E04" w:rsidRPr="00946B4D">
        <w:t xml:space="preserve"> </w:t>
      </w:r>
      <w:r w:rsidRPr="00946B4D">
        <w:t>jeżeli w czasie przewidzianym dla niej nie ma dowodów stwierdzających, że niestawienni</w:t>
      </w:r>
      <w:r w:rsidRPr="00946B4D">
        <w:t>c</w:t>
      </w:r>
      <w:r w:rsidRPr="00946B4D">
        <w:t>two podejrzanego lub jego obrońcy jest usprawiedliwione, tj. gdy istnieje domniemanie, że jest nieusprawiedliwione, chyba że organ uzyskał inform</w:t>
      </w:r>
      <w:r w:rsidRPr="00946B4D">
        <w:t>a</w:t>
      </w:r>
      <w:r w:rsidRPr="00946B4D">
        <w:t>cję o wystąpieniu przeszkód, które uniemożliwiły niestawiennictwo i nad</w:t>
      </w:r>
      <w:r w:rsidRPr="00946B4D">
        <w:t>e</w:t>
      </w:r>
      <w:r w:rsidRPr="00946B4D">
        <w:t>słanie usprawiedliwienia, np. katastrofy kolejowej</w:t>
      </w:r>
      <w:r w:rsidRPr="00946B4D">
        <w:rPr>
          <w:rStyle w:val="Odwoanieprzypisudolnego"/>
          <w:rFonts w:ascii="Arial" w:hAnsi="Arial" w:cs="Arial"/>
          <w:szCs w:val="21"/>
        </w:rPr>
        <w:footnoteReference w:id="12"/>
      </w:r>
      <w:r w:rsidR="00FD03C3" w:rsidRPr="00946B4D">
        <w:t>.</w:t>
      </w:r>
      <w:r w:rsidRPr="00946B4D">
        <w:t xml:space="preserve"> </w:t>
      </w:r>
    </w:p>
    <w:p w:rsidR="002F49F8" w:rsidRPr="00946B4D" w:rsidRDefault="002F49F8" w:rsidP="004B7E04">
      <w:pPr>
        <w:pStyle w:val="tekstprokuratury"/>
      </w:pPr>
      <w:r w:rsidRPr="00946B4D">
        <w:lastRenderedPageBreak/>
        <w:t>W wypadku, gdy stawił się tylko podejrzany lub pokrzywdzony, a bez usprawiedliwienia nie stawił się obrońca lub pełnomocnik, nie ma przeszkód do zaznajomienia się z materiałami postępowania przez samego podejrz</w:t>
      </w:r>
      <w:r w:rsidRPr="00946B4D">
        <w:t>a</w:t>
      </w:r>
      <w:r w:rsidRPr="00946B4D">
        <w:t xml:space="preserve">nego lub pokrzywdzonego. </w:t>
      </w:r>
    </w:p>
    <w:p w:rsidR="002F49F8" w:rsidRPr="00946B4D" w:rsidRDefault="002F49F8" w:rsidP="004B7E04">
      <w:pPr>
        <w:pStyle w:val="tekstprokuratury"/>
      </w:pPr>
      <w:r w:rsidRPr="00946B4D">
        <w:t>W art. 321 § 4 k.p.k. skutek nieusprawiedliwionego niestawiennictwa o</w:t>
      </w:r>
      <w:r w:rsidRPr="00946B4D">
        <w:t>d</w:t>
      </w:r>
      <w:r w:rsidRPr="00946B4D">
        <w:t>nosi się nie tylko do stron, ale także obrońcy i pełnomocnika. Ustawa nie różnicuje przyczyny korzystania z pomocy obrońcy, a zatem</w:t>
      </w:r>
      <w:r w:rsidR="004B7E04" w:rsidRPr="00946B4D">
        <w:t xml:space="preserve"> </w:t>
      </w:r>
      <w:r w:rsidRPr="00946B4D">
        <w:t>dotyczy to</w:t>
      </w:r>
      <w:r w:rsidR="004B7E04" w:rsidRPr="00946B4D">
        <w:t xml:space="preserve"> </w:t>
      </w:r>
      <w:r w:rsidRPr="00946B4D">
        <w:t>także</w:t>
      </w:r>
      <w:r w:rsidR="004B7E04" w:rsidRPr="00946B4D">
        <w:t xml:space="preserve"> </w:t>
      </w:r>
      <w:r w:rsidRPr="00946B4D">
        <w:t>obrony obligatoryjnej. Brak wyłączenia w tym przepisie</w:t>
      </w:r>
      <w:r w:rsidR="004B7E04" w:rsidRPr="00946B4D">
        <w:t xml:space="preserve"> </w:t>
      </w:r>
      <w:r w:rsidRPr="00946B4D">
        <w:t>obrońcy realizując</w:t>
      </w:r>
      <w:r w:rsidRPr="00946B4D">
        <w:t>e</w:t>
      </w:r>
      <w:r w:rsidRPr="00946B4D">
        <w:t xml:space="preserve">go obronę obligatoryjną – zgodnie z zasadą </w:t>
      </w:r>
      <w:r w:rsidRPr="00946B4D">
        <w:rPr>
          <w:i/>
        </w:rPr>
        <w:t>lege non distin</w:t>
      </w:r>
      <w:r w:rsidR="008550DE">
        <w:rPr>
          <w:i/>
        </w:rPr>
        <w:t>g</w:t>
      </w:r>
      <w:r w:rsidRPr="00946B4D">
        <w:rPr>
          <w:i/>
        </w:rPr>
        <w:t>uente</w:t>
      </w:r>
      <w:r w:rsidR="004B7E04" w:rsidRPr="00946B4D">
        <w:rPr>
          <w:i/>
        </w:rPr>
        <w:t xml:space="preserve"> </w:t>
      </w:r>
      <w:r w:rsidRPr="00946B4D">
        <w:rPr>
          <w:i/>
        </w:rPr>
        <w:t>nec n</w:t>
      </w:r>
      <w:r w:rsidRPr="00946B4D">
        <w:rPr>
          <w:i/>
        </w:rPr>
        <w:t>o</w:t>
      </w:r>
      <w:r w:rsidRPr="00946B4D">
        <w:rPr>
          <w:i/>
        </w:rPr>
        <w:t>strum est distin</w:t>
      </w:r>
      <w:r w:rsidR="008550DE">
        <w:rPr>
          <w:i/>
        </w:rPr>
        <w:t>g</w:t>
      </w:r>
      <w:r w:rsidRPr="00946B4D">
        <w:rPr>
          <w:i/>
        </w:rPr>
        <w:t xml:space="preserve">uere </w:t>
      </w:r>
      <w:r w:rsidRPr="00946B4D">
        <w:t>– nie pozwala na wyłączenie go spod działania art. 321 § 4 k.p.k. Przemawia</w:t>
      </w:r>
      <w:r w:rsidR="004B7E04" w:rsidRPr="00946B4D">
        <w:t xml:space="preserve"> </w:t>
      </w:r>
      <w:r w:rsidRPr="00946B4D">
        <w:t>za tym także wykładnia historyczna.</w:t>
      </w:r>
      <w:r w:rsidR="004B7E04" w:rsidRPr="00946B4D">
        <w:t xml:space="preserve"> </w:t>
      </w:r>
      <w:r w:rsidRPr="00946B4D">
        <w:t>W pierwotnym brzmieniu art. 321 § 3 k.p.k. przewidywał, że nieusprawiedliwione niest</w:t>
      </w:r>
      <w:r w:rsidRPr="00946B4D">
        <w:t>a</w:t>
      </w:r>
      <w:r w:rsidRPr="00946B4D">
        <w:t>wiennictwo podejrzanego lub – poza</w:t>
      </w:r>
      <w:r w:rsidR="004B7E04" w:rsidRPr="00946B4D">
        <w:t xml:space="preserve"> </w:t>
      </w:r>
      <w:r w:rsidRPr="00946B4D">
        <w:t>wypadkami określonymi w art. 79 k.p.k. – jego obrońcy nie tamuje dalszego postępowania. Ustawą z dnia 10 styc</w:t>
      </w:r>
      <w:r w:rsidRPr="00946B4D">
        <w:t>z</w:t>
      </w:r>
      <w:r w:rsidRPr="00946B4D">
        <w:t xml:space="preserve">nia 2003 r. o zmianie ustawy </w:t>
      </w:r>
      <w:r w:rsidR="004B7E04" w:rsidRPr="00946B4D">
        <w:t>–</w:t>
      </w:r>
      <w:r w:rsidRPr="00946B4D">
        <w:t xml:space="preserve"> Kodeks postępowania karnego, ustawy </w:t>
      </w:r>
      <w:r w:rsidR="004B7E04" w:rsidRPr="00946B4D">
        <w:t>–</w:t>
      </w:r>
      <w:r w:rsidRPr="00946B4D">
        <w:t xml:space="preserve"> Przepisy wprowadzające Kodeks postępowania karnego, ustawy o świadku koronnym oraz ustawy o ochronie informacji niejawnych</w:t>
      </w:r>
      <w:r w:rsidRPr="00946B4D">
        <w:rPr>
          <w:rStyle w:val="Odwoanieprzypisudolnego"/>
          <w:rFonts w:ascii="Arial" w:hAnsi="Arial" w:cs="Arial"/>
          <w:bCs w:val="0"/>
          <w:szCs w:val="21"/>
        </w:rPr>
        <w:footnoteReference w:id="13"/>
      </w:r>
      <w:r w:rsidRPr="00946B4D">
        <w:t xml:space="preserve"> zrezygnowano</w:t>
      </w:r>
      <w:r w:rsidR="004B7E04" w:rsidRPr="00946B4D">
        <w:t xml:space="preserve"> </w:t>
      </w:r>
      <w:r w:rsidRPr="00946B4D">
        <w:t>z</w:t>
      </w:r>
      <w:r w:rsidR="00554DA7" w:rsidRPr="00946B4D">
        <w:t> </w:t>
      </w:r>
      <w:r w:rsidRPr="00946B4D">
        <w:t>wyłączenia obrońcy obligatoryjnego, wykreślając wyrazy</w:t>
      </w:r>
      <w:r w:rsidR="004B7E04" w:rsidRPr="00946B4D">
        <w:t xml:space="preserve"> </w:t>
      </w:r>
      <w:r w:rsidRPr="00946B4D">
        <w:t>„poza wypadk</w:t>
      </w:r>
      <w:r w:rsidRPr="00946B4D">
        <w:t>a</w:t>
      </w:r>
      <w:r w:rsidRPr="00946B4D">
        <w:t xml:space="preserve">mi określonymi w art. </w:t>
      </w:r>
      <w:smartTag w:uri="urn:schemas-microsoft-com:office:smarttags" w:element="metricconverter">
        <w:smartTagPr>
          <w:attr w:name="ProductID" w:val="79”"/>
        </w:smartTagPr>
        <w:r w:rsidRPr="00946B4D">
          <w:t>79</w:t>
        </w:r>
        <w:r w:rsidR="00554DA7" w:rsidRPr="00946B4D">
          <w:t>”</w:t>
        </w:r>
      </w:smartTag>
      <w:r w:rsidR="00554DA7" w:rsidRPr="00946B4D">
        <w:t>.</w:t>
      </w:r>
      <w:r w:rsidRPr="00946B4D">
        <w:t xml:space="preserve"> Oznacza to, że każdy obrońca, a więc zarówno w przypadkach obligatoryjnego, jak i fakultatywnego udziału w postępow</w:t>
      </w:r>
      <w:r w:rsidRPr="00946B4D">
        <w:t>a</w:t>
      </w:r>
      <w:r w:rsidRPr="00946B4D">
        <w:t>niu</w:t>
      </w:r>
      <w:r w:rsidR="0091305D">
        <w:t>,</w:t>
      </w:r>
      <w:r w:rsidRPr="00946B4D">
        <w:t xml:space="preserve"> może uczestniczyć w tej czynności, jak i każdy obrońca może w tej czynn</w:t>
      </w:r>
      <w:r w:rsidRPr="00946B4D">
        <w:t>o</w:t>
      </w:r>
      <w:r w:rsidRPr="00946B4D">
        <w:t>ści nie brać udziału</w:t>
      </w:r>
      <w:r w:rsidRPr="00946B4D">
        <w:rPr>
          <w:rStyle w:val="Odwoanieprzypisudolnego"/>
          <w:rFonts w:ascii="Arial" w:hAnsi="Arial" w:cs="Arial"/>
          <w:szCs w:val="21"/>
        </w:rPr>
        <w:footnoteReference w:id="14"/>
      </w:r>
      <w:r w:rsidR="00FD03C3" w:rsidRPr="00946B4D">
        <w:t>.</w:t>
      </w:r>
    </w:p>
    <w:p w:rsidR="002F49F8" w:rsidRPr="00946B4D" w:rsidRDefault="004B7E04" w:rsidP="004B7E04">
      <w:pPr>
        <w:pStyle w:val="tekstprokuratury"/>
      </w:pPr>
      <w:r w:rsidRPr="00946B4D">
        <w:t xml:space="preserve"> </w:t>
      </w:r>
      <w:r w:rsidR="002F49F8" w:rsidRPr="00946B4D">
        <w:t>Usprawiedliwione niestawiennictwo podejrzanego lub jego obrońcy albo pokrzywdzonego lub jego pełnomocnika prowadzi do wyznaczenia innego terminu zapoznania z materiałami</w:t>
      </w:r>
      <w:r w:rsidRPr="00946B4D">
        <w:t xml:space="preserve"> </w:t>
      </w:r>
      <w:r w:rsidR="002F49F8" w:rsidRPr="00946B4D">
        <w:t>postępowania przygotowawczego po</w:t>
      </w:r>
      <w:r w:rsidR="002F49F8" w:rsidRPr="00946B4D">
        <w:t>d</w:t>
      </w:r>
      <w:r w:rsidR="002F49F8" w:rsidRPr="00946B4D">
        <w:t>miotu, który usprawiedliwił swoje niestawiennictwo</w:t>
      </w:r>
      <w:r w:rsidR="002F49F8" w:rsidRPr="00946B4D">
        <w:rPr>
          <w:rStyle w:val="Odwoanieprzypisudolnego"/>
          <w:rFonts w:ascii="Arial" w:hAnsi="Arial" w:cs="Arial"/>
          <w:szCs w:val="21"/>
        </w:rPr>
        <w:footnoteReference w:id="15"/>
      </w:r>
      <w:r w:rsidR="00FD03C3" w:rsidRPr="00946B4D">
        <w:t>.</w:t>
      </w:r>
    </w:p>
    <w:p w:rsidR="002F49F8" w:rsidRPr="00946B4D" w:rsidRDefault="002F49F8" w:rsidP="004B7E04">
      <w:pPr>
        <w:pStyle w:val="tekstprokuratury"/>
      </w:pPr>
      <w:r w:rsidRPr="00946B4D">
        <w:t>Ze względu na to, że pokrzywdzonych może być tak dużo, iż zap</w:t>
      </w:r>
      <w:r w:rsidRPr="00946B4D">
        <w:t>o</w:t>
      </w:r>
      <w:r w:rsidRPr="00946B4D">
        <w:t>znanie się przez wszystkich z materiałami postępowania mogłoby dopr</w:t>
      </w:r>
      <w:r w:rsidRPr="00946B4D">
        <w:t>o</w:t>
      </w:r>
      <w:r w:rsidRPr="00946B4D">
        <w:t>wadzić do znacznego opóźnienia zakończenia postępowania, co uniemożliwiłoby</w:t>
      </w:r>
      <w:r w:rsidR="004B7E04" w:rsidRPr="00946B4D">
        <w:t xml:space="preserve"> </w:t>
      </w:r>
      <w:r w:rsidRPr="00946B4D">
        <w:t>ro</w:t>
      </w:r>
      <w:r w:rsidRPr="00946B4D">
        <w:t>z</w:t>
      </w:r>
      <w:r w:rsidRPr="00946B4D">
        <w:t>poznanie sprawy w rozsądnym terminie, prokurator może ograniczyć liczbę pokrzywdzonych, którym umożliwi końcowe zapoznanie się z materiałami postępowania, o ile jest to konieczne dla zapewnienia prawidłowego toku postępowania (art. 321 § 2 k.p.k.). Z</w:t>
      </w:r>
      <w:r w:rsidR="004B7E04" w:rsidRPr="00946B4D">
        <w:t xml:space="preserve"> </w:t>
      </w:r>
      <w:r w:rsidRPr="00946B4D">
        <w:t>faktu, że chodzi o ograniczenie liczby pokrzywdzonych wynika wniosek, iż ma to być duża ich liczba. Uwzględni</w:t>
      </w:r>
      <w:r w:rsidRPr="00946B4D">
        <w:t>a</w:t>
      </w:r>
      <w:r w:rsidRPr="00946B4D">
        <w:t>jąc perspektywę znacznego opóźnienia zakończ</w:t>
      </w:r>
      <w:r w:rsidRPr="00946B4D">
        <w:t>e</w:t>
      </w:r>
      <w:r w:rsidRPr="00946B4D">
        <w:t>nia postępowania, trzeba przyjąć, że jest ono na tyle duże, iż dopuszcz</w:t>
      </w:r>
      <w:r w:rsidRPr="00946B4D">
        <w:t>e</w:t>
      </w:r>
      <w:r w:rsidRPr="00946B4D">
        <w:t>nie wszystkich do zapoznania się z aktami opóźniłoby znacznie podejm</w:t>
      </w:r>
      <w:r w:rsidRPr="00946B4D">
        <w:t>o</w:t>
      </w:r>
      <w:r w:rsidRPr="00946B4D">
        <w:t>wanie dalszych czynności, np. wydanie postanowienia o zamknięciu</w:t>
      </w:r>
      <w:r w:rsidR="004B7E04" w:rsidRPr="00946B4D">
        <w:t xml:space="preserve"> </w:t>
      </w:r>
      <w:r w:rsidRPr="00946B4D">
        <w:t xml:space="preserve">śledztwa. Ich określenie liczbowe jest </w:t>
      </w:r>
      <w:r w:rsidRPr="00946B4D">
        <w:lastRenderedPageBreak/>
        <w:t>niemożliwe, gdyż zależy od chara</w:t>
      </w:r>
      <w:r w:rsidRPr="00946B4D">
        <w:t>k</w:t>
      </w:r>
      <w:r w:rsidRPr="00946B4D">
        <w:t xml:space="preserve">teru sprawy, zwłaszcza od obszerności materiałów. </w:t>
      </w:r>
    </w:p>
    <w:p w:rsidR="002F49F8" w:rsidRPr="00946B4D" w:rsidRDefault="002F49F8" w:rsidP="004B7E04">
      <w:pPr>
        <w:pStyle w:val="tekstprokuratury"/>
      </w:pPr>
      <w:r w:rsidRPr="00946B4D">
        <w:t xml:space="preserve">W art. 321 § 2 k.p.k. wskazano </w:t>
      </w:r>
      <w:r w:rsidRPr="00946B4D">
        <w:rPr>
          <w:i/>
        </w:rPr>
        <w:t>expressis verbis</w:t>
      </w:r>
      <w:r w:rsidRPr="00946B4D">
        <w:t xml:space="preserve"> jedno kryterium, a mi</w:t>
      </w:r>
      <w:r w:rsidRPr="00946B4D">
        <w:t>a</w:t>
      </w:r>
      <w:r w:rsidRPr="00946B4D">
        <w:t>nowicie</w:t>
      </w:r>
      <w:r w:rsidR="004B7E04" w:rsidRPr="00946B4D">
        <w:t xml:space="preserve"> </w:t>
      </w:r>
      <w:r w:rsidRPr="00946B4D">
        <w:t>zabezpieczenie prawidłowego toku postępowania. Taka sama prz</w:t>
      </w:r>
      <w:r w:rsidRPr="00946B4D">
        <w:t>e</w:t>
      </w:r>
      <w:r w:rsidRPr="00946B4D">
        <w:t>słanka</w:t>
      </w:r>
      <w:r w:rsidR="004B7E04" w:rsidRPr="00946B4D">
        <w:t xml:space="preserve"> </w:t>
      </w:r>
      <w:r w:rsidRPr="00946B4D">
        <w:t xml:space="preserve">występuje w art. 249 § 1 </w:t>
      </w:r>
      <w:r w:rsidR="00FD03C3" w:rsidRPr="00946B4D">
        <w:t>k.p.k.</w:t>
      </w:r>
      <w:r w:rsidRPr="00946B4D">
        <w:t xml:space="preserve"> jako podstawa stosowania środków zapobiegawczych. Z uwagi na zakaz wykładni homonimicznej</w:t>
      </w:r>
      <w:r w:rsidR="004B7E04" w:rsidRPr="00946B4D">
        <w:t xml:space="preserve"> </w:t>
      </w:r>
      <w:r w:rsidRPr="00946B4D">
        <w:t>dla wyjaśni</w:t>
      </w:r>
      <w:r w:rsidRPr="00946B4D">
        <w:t>e</w:t>
      </w:r>
      <w:r w:rsidRPr="00946B4D">
        <w:t>nia tego kryterium</w:t>
      </w:r>
      <w:r w:rsidR="004B7E04" w:rsidRPr="00946B4D">
        <w:t xml:space="preserve"> </w:t>
      </w:r>
      <w:r w:rsidRPr="00946B4D">
        <w:t>pomocny może być dorobek doktryny i judykatury wypr</w:t>
      </w:r>
      <w:r w:rsidRPr="00946B4D">
        <w:t>a</w:t>
      </w:r>
      <w:r w:rsidRPr="00946B4D">
        <w:t>cowany na tle tego przepisu, z tym, że nie można gubić z pola widzenia fa</w:t>
      </w:r>
      <w:r w:rsidRPr="00946B4D">
        <w:t>k</w:t>
      </w:r>
      <w:r w:rsidRPr="00946B4D">
        <w:t>tu, iż chodzi o końcowy etap postępowania przygot</w:t>
      </w:r>
      <w:r w:rsidRPr="00946B4D">
        <w:t>o</w:t>
      </w:r>
      <w:r w:rsidRPr="00946B4D">
        <w:t>wawczego. Przyjmuje się, że zapewnienie prawidłowego toku postępow</w:t>
      </w:r>
      <w:r w:rsidRPr="00946B4D">
        <w:t>a</w:t>
      </w:r>
      <w:r w:rsidRPr="00946B4D">
        <w:t>nia polega na stworzeniu dla procesu karnego takich warunków, by mógł być prowadzony bez prz</w:t>
      </w:r>
      <w:r w:rsidRPr="00946B4D">
        <w:t>e</w:t>
      </w:r>
      <w:r w:rsidRPr="00946B4D">
        <w:t>szkód i by zostały osiągnięte cele postępowania karnego</w:t>
      </w:r>
      <w:r w:rsidRPr="00946B4D">
        <w:rPr>
          <w:rStyle w:val="Odwoanieprzypisudolnego"/>
          <w:rFonts w:ascii="Arial" w:hAnsi="Arial" w:cs="Arial"/>
          <w:szCs w:val="21"/>
        </w:rPr>
        <w:footnoteReference w:id="16"/>
      </w:r>
      <w:r w:rsidR="00FD03C3" w:rsidRPr="00946B4D">
        <w:t>.</w:t>
      </w:r>
      <w:r w:rsidRPr="00946B4D">
        <w:t xml:space="preserve"> Ze względu</w:t>
      </w:r>
      <w:r w:rsidR="0008068F" w:rsidRPr="00946B4D">
        <w:t xml:space="preserve"> na</w:t>
      </w:r>
      <w:r w:rsidRPr="00946B4D">
        <w:t xml:space="preserve"> ten etap postępowania na czoło wysuwa się</w:t>
      </w:r>
      <w:r w:rsidR="004B7E04" w:rsidRPr="00946B4D">
        <w:t xml:space="preserve"> </w:t>
      </w:r>
      <w:r w:rsidRPr="00946B4D">
        <w:t>dążenie do rozstrzygnięcia</w:t>
      </w:r>
      <w:r w:rsidR="004B7E04" w:rsidRPr="00946B4D">
        <w:t xml:space="preserve"> </w:t>
      </w:r>
      <w:r w:rsidRPr="00946B4D">
        <w:t>sprawy w rozsądnym terminie (art. 2 § 1 pkt 2 k.p.k.).</w:t>
      </w:r>
    </w:p>
    <w:p w:rsidR="002F49F8" w:rsidRPr="00946B4D" w:rsidRDefault="002F49F8" w:rsidP="004B7E04">
      <w:pPr>
        <w:pStyle w:val="tekstprokuratury"/>
      </w:pPr>
      <w:r w:rsidRPr="00946B4D">
        <w:t>Uprawnionym do ograniczenia liczby pokrzywdzonych jest wyłącznie pr</w:t>
      </w:r>
      <w:r w:rsidRPr="00946B4D">
        <w:t>o</w:t>
      </w:r>
      <w:r w:rsidRPr="00946B4D">
        <w:t>kurator zarówno w śledztwie, jak i dochodzeniu.</w:t>
      </w:r>
    </w:p>
    <w:p w:rsidR="002F49F8" w:rsidRPr="00946B4D" w:rsidRDefault="002F49F8" w:rsidP="00FD03C3">
      <w:pPr>
        <w:pStyle w:val="podtytul2prokuratury"/>
      </w:pPr>
      <w:r w:rsidRPr="00946B4D">
        <w:t>4. Sposób zapoznania</w:t>
      </w:r>
    </w:p>
    <w:p w:rsidR="002F49F8" w:rsidRPr="00946B4D" w:rsidRDefault="002F49F8" w:rsidP="004B7E04">
      <w:pPr>
        <w:pStyle w:val="tekstprokuratury"/>
      </w:pPr>
      <w:r w:rsidRPr="00946B4D">
        <w:t>Prowadzący śledztwo lub dochodzenie umożliwia podejrzanemu lub jego obrońcy oraz pokrzywdzonemu lub jego pełnomocnikowi zapoznanie się z</w:t>
      </w:r>
      <w:r w:rsidR="00554DA7" w:rsidRPr="00946B4D">
        <w:t> </w:t>
      </w:r>
      <w:r w:rsidRPr="00946B4D">
        <w:t>aktami postępowania. Umożliwienie</w:t>
      </w:r>
      <w:r w:rsidR="004B7E04" w:rsidRPr="00946B4D">
        <w:t xml:space="preserve"> </w:t>
      </w:r>
      <w:r w:rsidRPr="00946B4D">
        <w:t xml:space="preserve">polega nie tylko na przekazaniu akt postępowania w celu zapoznania się z nimi, ale także </w:t>
      </w:r>
      <w:r w:rsidR="0091305D">
        <w:t xml:space="preserve">na </w:t>
      </w:r>
      <w:r w:rsidRPr="00946B4D">
        <w:t>zapewnieniu o</w:t>
      </w:r>
      <w:r w:rsidRPr="00946B4D">
        <w:t>d</w:t>
      </w:r>
      <w:r w:rsidRPr="00946B4D">
        <w:t>powiedniego pomieszczenia, pozwalającego na swobodne czytanie akt. M</w:t>
      </w:r>
      <w:r w:rsidRPr="00946B4D">
        <w:t>u</w:t>
      </w:r>
      <w:r w:rsidRPr="00946B4D">
        <w:t>si to być pomieszczenie wyposażone w odpowiednie meble (stół lub biurko i</w:t>
      </w:r>
      <w:r w:rsidR="00554DA7" w:rsidRPr="00946B4D">
        <w:t> </w:t>
      </w:r>
      <w:r w:rsidRPr="00946B4D">
        <w:t>krzesła) oraz właściwie oświetlone. Organ procesowy – jak słusznie po</w:t>
      </w:r>
      <w:r w:rsidRPr="00946B4D">
        <w:t>d</w:t>
      </w:r>
      <w:r w:rsidRPr="00946B4D">
        <w:t>kreśla się w literaturze – jest obowiązany zabezpieczyć dostęp do akt i przez wyznaczony okres zapewnić możliwość wglądu do kompletu akt oraz stw</w:t>
      </w:r>
      <w:r w:rsidRPr="00946B4D">
        <w:t>o</w:t>
      </w:r>
      <w:r w:rsidRPr="00946B4D">
        <w:t>rzyć takie warunki lokalowe, by istniała</w:t>
      </w:r>
      <w:r w:rsidR="00FD03C3" w:rsidRPr="00946B4D">
        <w:t xml:space="preserve"> możliwość percepcji ich treści</w:t>
      </w:r>
      <w:r w:rsidRPr="00946B4D">
        <w:rPr>
          <w:rStyle w:val="Odwoanieprzypisudolnego"/>
          <w:rFonts w:ascii="Arial" w:hAnsi="Arial" w:cs="Arial"/>
          <w:szCs w:val="21"/>
        </w:rPr>
        <w:footnoteReference w:id="17"/>
      </w:r>
      <w:r w:rsidR="00FD03C3" w:rsidRPr="00946B4D">
        <w:t>.</w:t>
      </w:r>
      <w:r w:rsidRPr="00946B4D">
        <w:t xml:space="preserve"> Nie ma zn</w:t>
      </w:r>
      <w:r w:rsidRPr="00946B4D">
        <w:t>a</w:t>
      </w:r>
      <w:r w:rsidRPr="00946B4D">
        <w:t>czenia miejsce przeprowadzenia tej czynności. Może ona odbyć się w gab</w:t>
      </w:r>
      <w:r w:rsidRPr="00946B4D">
        <w:t>i</w:t>
      </w:r>
      <w:r w:rsidRPr="00946B4D">
        <w:t>necie prowadzącego śledztwo lub dochodzenie albo pomieszczeniu w</w:t>
      </w:r>
      <w:r w:rsidR="00554DA7" w:rsidRPr="00946B4D">
        <w:t> </w:t>
      </w:r>
      <w:r w:rsidRPr="00946B4D">
        <w:t>areszcie śledczym lub zakładzie karnym, jeżeli podejrzany jest tymczas</w:t>
      </w:r>
      <w:r w:rsidRPr="00946B4D">
        <w:t>o</w:t>
      </w:r>
      <w:r w:rsidRPr="00946B4D">
        <w:t>wo aresztowany lub odbywa karę pozbawienia wolności.</w:t>
      </w:r>
    </w:p>
    <w:p w:rsidR="002F49F8" w:rsidRPr="00946B4D" w:rsidRDefault="002F49F8" w:rsidP="004B7E04">
      <w:pPr>
        <w:pStyle w:val="tekstprokuratury"/>
      </w:pPr>
      <w:r w:rsidRPr="00946B4D">
        <w:t>Czynność ta polega na osobistym zapoznaniu się z zebranymi materi</w:t>
      </w:r>
      <w:r w:rsidRPr="00946B4D">
        <w:t>a</w:t>
      </w:r>
      <w:r w:rsidRPr="00946B4D">
        <w:t>łami przez strony lub ich przedstawicieli procesowych, a nie na zaznajami</w:t>
      </w:r>
      <w:r w:rsidRPr="00946B4D">
        <w:t>a</w:t>
      </w:r>
      <w:r w:rsidRPr="00946B4D">
        <w:t>niu ich przez organ prowadzący postępowanie przygotowawcze. Zmiana ta jest o tyle istotna, że zapoznanie się z materiałami przez samego podejrz</w:t>
      </w:r>
      <w:r w:rsidRPr="00946B4D">
        <w:t>a</w:t>
      </w:r>
      <w:r w:rsidRPr="00946B4D">
        <w:t>nego lub przy udziale obrońcy pozwala na dogłębne i wszechstronne p</w:t>
      </w:r>
      <w:r w:rsidRPr="00946B4D">
        <w:t>o</w:t>
      </w:r>
      <w:r w:rsidRPr="00946B4D">
        <w:lastRenderedPageBreak/>
        <w:t>znanie zebranych dowodów i dokonanych czynności. Umożliwia pełne z</w:t>
      </w:r>
      <w:r w:rsidRPr="00946B4D">
        <w:t>o</w:t>
      </w:r>
      <w:r w:rsidRPr="00946B4D">
        <w:t>rientowanie się podejrzanego w jego sytuacji i dowodach przemawiających przeciwko niemu</w:t>
      </w:r>
      <w:r w:rsidRPr="00946B4D">
        <w:rPr>
          <w:rStyle w:val="Odwoanieprzypisudolnego"/>
          <w:rFonts w:ascii="Arial" w:hAnsi="Arial" w:cs="Arial"/>
          <w:szCs w:val="21"/>
        </w:rPr>
        <w:footnoteReference w:id="18"/>
      </w:r>
      <w:r w:rsidR="00FD03C3" w:rsidRPr="00946B4D">
        <w:t>.</w:t>
      </w:r>
      <w:r w:rsidRPr="00946B4D">
        <w:t xml:space="preserve"> Podejrzany podczas tej czynności, jeśli wcześniej nie przeglądał akt, poznaje wszystkie zgromadzone przeciwko niemu dowody. </w:t>
      </w:r>
    </w:p>
    <w:p w:rsidR="00BB255B" w:rsidRPr="00946B4D" w:rsidRDefault="002F49F8" w:rsidP="004B7E04">
      <w:pPr>
        <w:pStyle w:val="tekstprokuratury"/>
      </w:pPr>
      <w:r w:rsidRPr="00946B4D">
        <w:t>Taki sposób zapoznania się podejrzanego z materiałami postępowania najlepiej spełnia cel merytoryczny, jakim jest przygotowanie podejrzanego do kontroli istnienia podstaw do sporządzenia aktu oskarżenia lub odp</w:t>
      </w:r>
      <w:r w:rsidRPr="00946B4D">
        <w:t>o</w:t>
      </w:r>
      <w:r w:rsidRPr="00946B4D">
        <w:t>wiedniego wniosku. Powoduje, że w świadomości podejrzanego znajduje odbicie treść poszczególnych materiałów i ich znaczenie dowodowe</w:t>
      </w:r>
      <w:r w:rsidRPr="00946B4D">
        <w:rPr>
          <w:rStyle w:val="Odwoanieprzypisudolnego"/>
          <w:rFonts w:ascii="Arial" w:hAnsi="Arial" w:cs="Arial"/>
          <w:szCs w:val="21"/>
        </w:rPr>
        <w:footnoteReference w:id="19"/>
      </w:r>
      <w:r w:rsidR="00FD03C3" w:rsidRPr="00946B4D">
        <w:t>.</w:t>
      </w:r>
      <w:r w:rsidRPr="00946B4D">
        <w:t xml:space="preserve"> P</w:t>
      </w:r>
      <w:r w:rsidRPr="00946B4D">
        <w:t>o</w:t>
      </w:r>
      <w:r w:rsidRPr="00946B4D">
        <w:t>nadto</w:t>
      </w:r>
      <w:r w:rsidR="0091305D">
        <w:t>,</w:t>
      </w:r>
      <w:r w:rsidRPr="00946B4D">
        <w:t xml:space="preserve"> lepiej służy realizacji prawa podejrzanego do obrony przez umożl</w:t>
      </w:r>
      <w:r w:rsidRPr="00946B4D">
        <w:t>i</w:t>
      </w:r>
      <w:r w:rsidRPr="00946B4D">
        <w:t>wienie mu zapoznania się z materiałami sprawy i może doprowadzić do wzbogacenia zebranych materiałów w drodze żądania ich uzupełnienia. Znajomość zgromadzonych materiałów jest istotnym warunkiem wykonyw</w:t>
      </w:r>
      <w:r w:rsidRPr="00946B4D">
        <w:t>a</w:t>
      </w:r>
      <w:r w:rsidRPr="00946B4D">
        <w:t>nia prawa do obrony</w:t>
      </w:r>
      <w:r w:rsidRPr="00946B4D">
        <w:rPr>
          <w:rStyle w:val="Odwoanieprzypisudolnego"/>
          <w:rFonts w:ascii="Arial" w:hAnsi="Arial" w:cs="Arial"/>
          <w:szCs w:val="21"/>
        </w:rPr>
        <w:footnoteReference w:id="20"/>
      </w:r>
      <w:r w:rsidR="00FD03C3" w:rsidRPr="00946B4D">
        <w:t>.</w:t>
      </w:r>
      <w:r w:rsidRPr="00946B4D">
        <w:t xml:space="preserve"> Trafnie wskazuje się w doktrynie, że podejrzany, przygotowując linię obrony przed rozpoczęciem postępowania sądowego</w:t>
      </w:r>
      <w:r w:rsidR="0091305D">
        <w:t>,</w:t>
      </w:r>
      <w:r w:rsidRPr="00946B4D">
        <w:t xml:space="preserve"> musi znać nie tylko treść stawianego mu zarzutu, ale także wiedzieć, jakimi d</w:t>
      </w:r>
      <w:r w:rsidRPr="00946B4D">
        <w:t>o</w:t>
      </w:r>
      <w:r w:rsidRPr="00946B4D">
        <w:t>wodami i materiałami dysponuje oskarżyciel na poparcie tego zarzutu</w:t>
      </w:r>
      <w:r w:rsidRPr="00946B4D">
        <w:rPr>
          <w:rStyle w:val="Odwoanieprzypisudolnego"/>
          <w:rFonts w:ascii="Arial" w:hAnsi="Arial" w:cs="Arial"/>
          <w:szCs w:val="21"/>
        </w:rPr>
        <w:footnoteReference w:id="21"/>
      </w:r>
      <w:r w:rsidR="00FD03C3" w:rsidRPr="00946B4D">
        <w:t>.</w:t>
      </w:r>
      <w:r w:rsidRPr="00946B4D">
        <w:t xml:space="preserve"> Znajomość tych materiałów umożliwia jemu i jego obrońcy ustosunkowanie się do wyników postępowania, a także podejmowanie odpowiednich śro</w:t>
      </w:r>
      <w:r w:rsidRPr="00946B4D">
        <w:t>d</w:t>
      </w:r>
      <w:r w:rsidRPr="00946B4D">
        <w:t>ków defensywnych.</w:t>
      </w:r>
      <w:r w:rsidR="0091305D">
        <w:t xml:space="preserve"> </w:t>
      </w:r>
      <w:r w:rsidRPr="00946B4D">
        <w:t>Chodzi o to, aby podejrzany i pokrzywdzony byli zorie</w:t>
      </w:r>
      <w:r w:rsidRPr="00946B4D">
        <w:t>n</w:t>
      </w:r>
      <w:r w:rsidRPr="00946B4D">
        <w:t xml:space="preserve">towani w wynikach śledztwa lub dochodzenia. </w:t>
      </w:r>
    </w:p>
    <w:p w:rsidR="002F49F8" w:rsidRPr="00946B4D" w:rsidRDefault="002F49F8" w:rsidP="004B7E04">
      <w:pPr>
        <w:pStyle w:val="tekstprokuratury"/>
      </w:pPr>
      <w:r w:rsidRPr="00946B4D">
        <w:t>Z zawartego w art. 321 § 1 k</w:t>
      </w:r>
      <w:r w:rsidR="004B7E04" w:rsidRPr="00946B4D">
        <w:t>.</w:t>
      </w:r>
      <w:r w:rsidRPr="00946B4D">
        <w:t>p.k</w:t>
      </w:r>
      <w:r w:rsidR="0091305D">
        <w:t>.</w:t>
      </w:r>
      <w:r w:rsidRPr="00946B4D">
        <w:t xml:space="preserve"> zwrotu „powiadamia wnioskującego o</w:t>
      </w:r>
      <w:r w:rsidR="00554DA7" w:rsidRPr="00946B4D">
        <w:t> </w:t>
      </w:r>
      <w:r w:rsidRPr="00946B4D">
        <w:t xml:space="preserve">możliwości przejrzenia akt” </w:t>
      </w:r>
      <w:r w:rsidRPr="00946B4D">
        <w:rPr>
          <w:i/>
        </w:rPr>
        <w:t>prima vista</w:t>
      </w:r>
      <w:r w:rsidRPr="00946B4D">
        <w:t xml:space="preserve"> wynika, że zapoznaje się z akt</w:t>
      </w:r>
      <w:r w:rsidRPr="00946B4D">
        <w:t>a</w:t>
      </w:r>
      <w:r w:rsidRPr="00946B4D">
        <w:t>mi tylko ta osoba, która złożyła wniosek. Należałoby zatem przyjąć, że w w</w:t>
      </w:r>
      <w:r w:rsidRPr="00946B4D">
        <w:t>y</w:t>
      </w:r>
      <w:r w:rsidRPr="00946B4D">
        <w:t>padku, gdy wniosek złożył tylko obrońca, wówczas uprawnienie to przysł</w:t>
      </w:r>
      <w:r w:rsidRPr="00946B4D">
        <w:t>u</w:t>
      </w:r>
      <w:r w:rsidRPr="00946B4D">
        <w:t>guje wyłącznie</w:t>
      </w:r>
      <w:r w:rsidR="004B7E04" w:rsidRPr="00946B4D">
        <w:t xml:space="preserve"> </w:t>
      </w:r>
      <w:r w:rsidRPr="00946B4D">
        <w:t>jemu. Interpretacja taka przeczyłaby istocie funkcji obrońcy, który ma służyć podejrzanemu pomocą. Każda z tych osób jest uprawniona do zapoznania się z aktami i nie jest wykluczone zapoznanie się z nimi o</w:t>
      </w:r>
      <w:r w:rsidRPr="00946B4D">
        <w:t>d</w:t>
      </w:r>
      <w:r w:rsidRPr="00946B4D">
        <w:t>dzielnie przez podejrzanego i jego obrońcę albo pokrzywdzonego i jego pe</w:t>
      </w:r>
      <w:r w:rsidRPr="00946B4D">
        <w:t>ł</w:t>
      </w:r>
      <w:r w:rsidRPr="00946B4D">
        <w:t>nomocnika. Wniosek ten potwierdza wykładnia historyczna. Przed noweliz</w:t>
      </w:r>
      <w:r w:rsidRPr="00946B4D">
        <w:t>a</w:t>
      </w:r>
      <w:r w:rsidRPr="00946B4D">
        <w:t xml:space="preserve">cją ustawą z dnia 27 września 2013 r. </w:t>
      </w:r>
      <w:r w:rsidR="0091305D" w:rsidRPr="00946B4D">
        <w:t xml:space="preserve">art. 321 k.p.k. </w:t>
      </w:r>
      <w:r w:rsidRPr="00946B4D">
        <w:t>przewidywał w § 3 r</w:t>
      </w:r>
      <w:r w:rsidRPr="00946B4D">
        <w:t>e</w:t>
      </w:r>
      <w:r w:rsidRPr="00946B4D">
        <w:t>gulację, w myśl której w czynnościach</w:t>
      </w:r>
      <w:r w:rsidR="004B7E04" w:rsidRPr="00946B4D">
        <w:t xml:space="preserve"> </w:t>
      </w:r>
      <w:r w:rsidRPr="00946B4D">
        <w:t>zaznajamiania podejrzanego z mat</w:t>
      </w:r>
      <w:r w:rsidRPr="00946B4D">
        <w:t>e</w:t>
      </w:r>
      <w:r w:rsidRPr="00946B4D">
        <w:t>riałami postępowania miał prawo uczestniczyć obrońca. Brak takiego post</w:t>
      </w:r>
      <w:r w:rsidRPr="00946B4D">
        <w:t>a</w:t>
      </w:r>
      <w:r w:rsidRPr="00946B4D">
        <w:lastRenderedPageBreak/>
        <w:t>nowienia w aktualnym brzmieniu art. 321 k</w:t>
      </w:r>
      <w:r w:rsidR="00FD03C3" w:rsidRPr="00946B4D">
        <w:t>.</w:t>
      </w:r>
      <w:r w:rsidRPr="00946B4D">
        <w:t>p.k. wskazuje, że prawo to prz</w:t>
      </w:r>
      <w:r w:rsidRPr="00946B4D">
        <w:t>y</w:t>
      </w:r>
      <w:r w:rsidRPr="00946B4D">
        <w:t>sługuje mu samodzielnie.</w:t>
      </w:r>
    </w:p>
    <w:p w:rsidR="002F49F8" w:rsidRPr="00946B4D" w:rsidRDefault="002F49F8" w:rsidP="004B7E04">
      <w:pPr>
        <w:pStyle w:val="tekstprokuratury"/>
      </w:pPr>
      <w:r w:rsidRPr="00946B4D">
        <w:t>Organ procesowy, ustalając terminy zapoznania się z aktami, powinien mieć na uwadze, że każda z tych osób może chcieć sama zapoznać się z</w:t>
      </w:r>
      <w:r w:rsidR="00554DA7" w:rsidRPr="00946B4D">
        <w:t> </w:t>
      </w:r>
      <w:r w:rsidRPr="00946B4D">
        <w:t>aktami. Z reguły z aktami zapoznaje się obrońca razem z podejrzanym, a</w:t>
      </w:r>
      <w:r w:rsidR="00554DA7" w:rsidRPr="00946B4D">
        <w:t> </w:t>
      </w:r>
      <w:r w:rsidRPr="00946B4D">
        <w:t>pokrzywdzony z pełnomocnikiem, gdyż wówczas istnieje lepsza możliwość na gorąco przedyskutowania problemów wyłaniających się przy lekturze akt. Zapoznanie się ma charakter indywidualny</w:t>
      </w:r>
      <w:r w:rsidRPr="00946B4D">
        <w:rPr>
          <w:rStyle w:val="Odwoanieprzypisudolnego"/>
          <w:rFonts w:ascii="Arial" w:hAnsi="Arial" w:cs="Arial"/>
          <w:szCs w:val="21"/>
        </w:rPr>
        <w:footnoteReference w:id="22"/>
      </w:r>
      <w:r w:rsidR="00FD03C3" w:rsidRPr="00946B4D">
        <w:t>.</w:t>
      </w:r>
    </w:p>
    <w:p w:rsidR="002F49F8" w:rsidRPr="00946B4D" w:rsidRDefault="002F49F8" w:rsidP="004B7E04">
      <w:pPr>
        <w:pStyle w:val="tekstprokuratury"/>
      </w:pPr>
      <w:r w:rsidRPr="00946B4D">
        <w:t>W art. 321 § 1 k.p.k. zakres przedmiotowy zapoznania się został określ</w:t>
      </w:r>
      <w:r w:rsidRPr="00946B4D">
        <w:t>o</w:t>
      </w:r>
      <w:r w:rsidRPr="00946B4D">
        <w:t>ny w dwojaki sposób, a mianowicie jako „materiały postępowania”</w:t>
      </w:r>
      <w:r w:rsidR="004B7E04" w:rsidRPr="00946B4D">
        <w:t xml:space="preserve"> </w:t>
      </w:r>
      <w:r w:rsidRPr="00946B4D">
        <w:t>oraz „a</w:t>
      </w:r>
      <w:r w:rsidRPr="00946B4D">
        <w:t>k</w:t>
      </w:r>
      <w:r w:rsidRPr="00946B4D">
        <w:t>ta”</w:t>
      </w:r>
      <w:r w:rsidR="00554DA7" w:rsidRPr="00946B4D">
        <w:t>.</w:t>
      </w:r>
      <w:r w:rsidRPr="00946B4D">
        <w:t xml:space="preserve"> Użycie różnych określeń może sugerować, że różny jest</w:t>
      </w:r>
      <w:r w:rsidR="004B7E04" w:rsidRPr="00946B4D">
        <w:t xml:space="preserve"> </w:t>
      </w:r>
      <w:r w:rsidRPr="00946B4D">
        <w:t>przedmiot z</w:t>
      </w:r>
      <w:r w:rsidRPr="00946B4D">
        <w:t>a</w:t>
      </w:r>
      <w:r w:rsidRPr="00946B4D">
        <w:t>poznania się. Z § 51 ust. 1</w:t>
      </w:r>
      <w:hyperlink r:id="rId7" w:history="1">
        <w:r w:rsidRPr="00946B4D">
          <w:rPr>
            <w:rStyle w:val="Hipercze"/>
            <w:color w:val="auto"/>
            <w:sz w:val="21"/>
            <w:szCs w:val="21"/>
          </w:rPr>
          <w:t xml:space="preserve"> zarządzenia nr 5/10 Prokuratora Generaln</w:t>
        </w:r>
        <w:r w:rsidRPr="00946B4D">
          <w:rPr>
            <w:rStyle w:val="Hipercze"/>
            <w:color w:val="auto"/>
            <w:sz w:val="21"/>
            <w:szCs w:val="21"/>
          </w:rPr>
          <w:t>e</w:t>
        </w:r>
        <w:r w:rsidRPr="00946B4D">
          <w:rPr>
            <w:rStyle w:val="Hipercze"/>
            <w:color w:val="auto"/>
            <w:sz w:val="21"/>
            <w:szCs w:val="21"/>
          </w:rPr>
          <w:t>go</w:t>
        </w:r>
        <w:r w:rsidR="00554DA7" w:rsidRPr="00946B4D">
          <w:rPr>
            <w:rStyle w:val="Hipercze"/>
            <w:color w:val="auto"/>
            <w:sz w:val="21"/>
            <w:szCs w:val="21"/>
          </w:rPr>
          <w:t xml:space="preserve"> </w:t>
        </w:r>
        <w:r w:rsidRPr="00946B4D">
          <w:rPr>
            <w:rStyle w:val="Hipercze"/>
            <w:color w:val="auto"/>
            <w:sz w:val="21"/>
            <w:szCs w:val="21"/>
          </w:rPr>
          <w:t>z</w:t>
        </w:r>
        <w:r w:rsidR="00554DA7" w:rsidRPr="00946B4D">
          <w:rPr>
            <w:rStyle w:val="Hipercze"/>
            <w:color w:val="auto"/>
            <w:sz w:val="21"/>
            <w:szCs w:val="21"/>
          </w:rPr>
          <w:t> </w:t>
        </w:r>
        <w:r w:rsidRPr="00946B4D">
          <w:rPr>
            <w:rStyle w:val="Hipercze"/>
            <w:color w:val="auto"/>
            <w:sz w:val="21"/>
            <w:szCs w:val="21"/>
          </w:rPr>
          <w:t>dnia 31 marca 2010 r. w sprawie</w:t>
        </w:r>
        <w:r w:rsidR="00554DA7" w:rsidRPr="00946B4D">
          <w:rPr>
            <w:rStyle w:val="Hipercze"/>
            <w:color w:val="auto"/>
            <w:sz w:val="21"/>
            <w:szCs w:val="21"/>
          </w:rPr>
          <w:t xml:space="preserve"> </w:t>
        </w:r>
        <w:r w:rsidRPr="00946B4D">
          <w:rPr>
            <w:rStyle w:val="Hipercze"/>
            <w:color w:val="auto"/>
            <w:sz w:val="21"/>
            <w:szCs w:val="21"/>
          </w:rPr>
          <w:t>organizacji i zakresu działania sekretari</w:t>
        </w:r>
        <w:r w:rsidRPr="00946B4D">
          <w:rPr>
            <w:rStyle w:val="Hipercze"/>
            <w:color w:val="auto"/>
            <w:sz w:val="21"/>
            <w:szCs w:val="21"/>
          </w:rPr>
          <w:t>a</w:t>
        </w:r>
        <w:r w:rsidRPr="00946B4D">
          <w:rPr>
            <w:rStyle w:val="Hipercze"/>
            <w:color w:val="auto"/>
            <w:sz w:val="21"/>
            <w:szCs w:val="21"/>
          </w:rPr>
          <w:t>tów oraz innych działów administracji w powszechnych jednostkach organ</w:t>
        </w:r>
        <w:r w:rsidRPr="00946B4D">
          <w:rPr>
            <w:rStyle w:val="Hipercze"/>
            <w:color w:val="auto"/>
            <w:sz w:val="21"/>
            <w:szCs w:val="21"/>
          </w:rPr>
          <w:t>i</w:t>
        </w:r>
        <w:r w:rsidRPr="00946B4D">
          <w:rPr>
            <w:rStyle w:val="Hipercze"/>
            <w:color w:val="auto"/>
            <w:sz w:val="21"/>
            <w:szCs w:val="21"/>
          </w:rPr>
          <w:t>zacyjnych prokuratury</w:t>
        </w:r>
      </w:hyperlink>
      <w:r w:rsidRPr="00946B4D">
        <w:rPr>
          <w:rStyle w:val="Odwoanieprzypisudolnego"/>
          <w:rFonts w:ascii="Arial" w:hAnsi="Arial" w:cs="Arial"/>
          <w:szCs w:val="21"/>
        </w:rPr>
        <w:footnoteReference w:id="23"/>
      </w:r>
      <w:r w:rsidRPr="00946B4D">
        <w:t xml:space="preserve"> wynika, że w aktach głównych dot</w:t>
      </w:r>
      <w:r w:rsidRPr="00946B4D">
        <w:t>y</w:t>
      </w:r>
      <w:r w:rsidRPr="00946B4D">
        <w:t>czących śledztw lub dochodzeń dołącza się dokumenty sporządzone w toku śledztwa lub d</w:t>
      </w:r>
      <w:r w:rsidRPr="00946B4D">
        <w:t>o</w:t>
      </w:r>
      <w:r w:rsidRPr="00946B4D">
        <w:t>chodzenia bądź przed ich wszczęciem, a także odpisy skierowanych zawi</w:t>
      </w:r>
      <w:r w:rsidRPr="00946B4D">
        <w:t>a</w:t>
      </w:r>
      <w:r w:rsidRPr="00946B4D">
        <w:t>domień, adnotacje urzędowe, kopie wniosków o zastosowanie i prz</w:t>
      </w:r>
      <w:r w:rsidRPr="00946B4D">
        <w:t>e</w:t>
      </w:r>
      <w:r w:rsidRPr="00946B4D">
        <w:t>dłużenie tymczasowego aresztowania, a także w zależności od decyzji pr</w:t>
      </w:r>
      <w:r w:rsidRPr="00946B4D">
        <w:t>o</w:t>
      </w:r>
      <w:r w:rsidRPr="00946B4D">
        <w:t>kuratora, pisma nadsyłane w sprawie przez strony procesowe i innych uczestników postępowania. Oznacza to, że w aktach są gromadzone mat</w:t>
      </w:r>
      <w:r w:rsidRPr="00946B4D">
        <w:t>e</w:t>
      </w:r>
      <w:r w:rsidRPr="00946B4D">
        <w:t>riały zebrane w toku śledztwa lub dochodzenia. Ch</w:t>
      </w:r>
      <w:r w:rsidRPr="00946B4D">
        <w:t>o</w:t>
      </w:r>
      <w:r w:rsidRPr="00946B4D">
        <w:t>dzi zatem o to samo. Udostępnia się akta główne, a nie podręczne. Te ostatnie mają charakter wewnętrzny. W</w:t>
      </w:r>
      <w:r w:rsidR="00554DA7" w:rsidRPr="00946B4D">
        <w:t> </w:t>
      </w:r>
      <w:r w:rsidRPr="00946B4D">
        <w:t>aktach podręcznych dotyczących śledztwa załącza się kartę wewnętrzn</w:t>
      </w:r>
      <w:r w:rsidRPr="00946B4D">
        <w:t>e</w:t>
      </w:r>
      <w:r w:rsidRPr="00946B4D">
        <w:t>go nadzoru służbowego, sprawowanego przez prokuratora bezpośrednio przełożonego, a w sprawach prowadzonych w formie dochodzenia kartę wewnętrznego nadzoru służbowego załącza się na podstawie zarządzenia ki</w:t>
      </w:r>
      <w:r w:rsidRPr="00946B4D">
        <w:t>e</w:t>
      </w:r>
      <w:r w:rsidRPr="00946B4D">
        <w:t>rownika jednostki lub wyznaczonego przez niego prokuratora (§ 50 ust. 6 cyt. zarządzenia). Zawierają one</w:t>
      </w:r>
      <w:r w:rsidR="004B7E04" w:rsidRPr="00946B4D">
        <w:t xml:space="preserve"> </w:t>
      </w:r>
      <w:r w:rsidRPr="00946B4D">
        <w:t>materiały niezbędne</w:t>
      </w:r>
      <w:r w:rsidR="004B7E04" w:rsidRPr="00946B4D">
        <w:t xml:space="preserve"> </w:t>
      </w:r>
      <w:r w:rsidRPr="00946B4D">
        <w:t>w postępowaniu s</w:t>
      </w:r>
      <w:r w:rsidRPr="00946B4D">
        <w:t>ą</w:t>
      </w:r>
      <w:r w:rsidRPr="00946B4D">
        <w:t xml:space="preserve">dowym i dla celów kontrolnych (§ 50 ust. 6 i 7 cyt. zarządzenia). </w:t>
      </w:r>
    </w:p>
    <w:p w:rsidR="002F49F8" w:rsidRPr="00946B4D" w:rsidRDefault="002F49F8" w:rsidP="004B7E04">
      <w:pPr>
        <w:pStyle w:val="tekstprokuratury"/>
      </w:pPr>
      <w:r w:rsidRPr="00946B4D">
        <w:t>W art. 321 § 1 k.p.k. nie został precyzyjnie określony zakres poznania akt. Z przepisu tego wynika, że</w:t>
      </w:r>
      <w:r w:rsidRPr="00946B4D">
        <w:rPr>
          <w:i/>
        </w:rPr>
        <w:t xml:space="preserve"> </w:t>
      </w:r>
      <w:r w:rsidRPr="00946B4D">
        <w:t>chodzi</w:t>
      </w:r>
      <w:r w:rsidRPr="00946B4D">
        <w:rPr>
          <w:i/>
        </w:rPr>
        <w:t xml:space="preserve"> verba legis</w:t>
      </w:r>
      <w:r w:rsidRPr="00946B4D">
        <w:t xml:space="preserve"> o „zapoznanie się”</w:t>
      </w:r>
      <w:r w:rsidR="004B7E04" w:rsidRPr="00946B4D">
        <w:t xml:space="preserve"> </w:t>
      </w:r>
      <w:r w:rsidRPr="00946B4D">
        <w:t>oraz „o</w:t>
      </w:r>
      <w:r w:rsidR="00554DA7" w:rsidRPr="00946B4D">
        <w:t> </w:t>
      </w:r>
      <w:r w:rsidRPr="00946B4D">
        <w:t>możliwości przejrzenia akt”</w:t>
      </w:r>
      <w:r w:rsidR="00554DA7" w:rsidRPr="00946B4D">
        <w:t>.</w:t>
      </w:r>
      <w:r w:rsidRPr="00946B4D">
        <w:t xml:space="preserve"> Z językowego punktu widzenia zwroty te mają różne znaczenie. Słowo „zapoznać się” oznacza „przyswoić</w:t>
      </w:r>
      <w:r w:rsidR="004B7E04" w:rsidRPr="00946B4D">
        <w:t xml:space="preserve"> </w:t>
      </w:r>
      <w:r w:rsidRPr="00946B4D">
        <w:t>informację o</w:t>
      </w:r>
      <w:r w:rsidR="00554DA7" w:rsidRPr="00946B4D">
        <w:t> </w:t>
      </w:r>
      <w:r w:rsidRPr="00946B4D">
        <w:t>czymś nowym, dowiedzieć się czegoś o czymś, poznać coś”</w:t>
      </w:r>
      <w:r w:rsidRPr="00946B4D">
        <w:rPr>
          <w:rStyle w:val="Odwoanieprzypisudolnego"/>
          <w:rFonts w:ascii="Arial" w:hAnsi="Arial" w:cs="Arial"/>
          <w:szCs w:val="21"/>
        </w:rPr>
        <w:footnoteReference w:id="24"/>
      </w:r>
      <w:r w:rsidR="00FD03C3" w:rsidRPr="00946B4D">
        <w:t>,</w:t>
      </w:r>
      <w:r w:rsidRPr="00946B4D">
        <w:t xml:space="preserve"> a wyraz „przejrzeć” – „obejrzeć coś dokładnie jedno po drugim, zapoznać się </w:t>
      </w:r>
      <w:r w:rsidRPr="00946B4D">
        <w:lastRenderedPageBreak/>
        <w:t>z</w:t>
      </w:r>
      <w:r w:rsidR="00554DA7" w:rsidRPr="00946B4D">
        <w:t> </w:t>
      </w:r>
      <w:r w:rsidRPr="00946B4D">
        <w:t>czymś, przewertować coś, zaznajomić się z czymś, zwykle pobieżnie”</w:t>
      </w:r>
      <w:r w:rsidRPr="00946B4D">
        <w:rPr>
          <w:rStyle w:val="Odwoanieprzypisudolnego"/>
          <w:rFonts w:ascii="Arial" w:hAnsi="Arial" w:cs="Arial"/>
          <w:szCs w:val="21"/>
        </w:rPr>
        <w:footnoteReference w:id="25"/>
      </w:r>
      <w:r w:rsidR="00FD03C3" w:rsidRPr="00946B4D">
        <w:t>.</w:t>
      </w:r>
      <w:r w:rsidRPr="00946B4D">
        <w:t xml:space="preserve"> Z</w:t>
      </w:r>
      <w:r w:rsidR="00554DA7" w:rsidRPr="00946B4D">
        <w:t> </w:t>
      </w:r>
      <w:r w:rsidRPr="00946B4D">
        <w:t>porównania znaczeń tych słów wynika, że w wypadku zapoznania się chodzi o gruntowniejsze poznanie. W przepisie tym słowo zapoznanie zost</w:t>
      </w:r>
      <w:r w:rsidRPr="00946B4D">
        <w:t>a</w:t>
      </w:r>
      <w:r w:rsidRPr="00946B4D">
        <w:t>ło użyte w kontekście wyznaczenia terminu tej czynności, a gdy chodzi o udostępnienie materiału jest mowa o przejrzeniu akt. Taki sposób umiejsc</w:t>
      </w:r>
      <w:r w:rsidRPr="00946B4D">
        <w:t>o</w:t>
      </w:r>
      <w:r w:rsidRPr="00946B4D">
        <w:t>wi</w:t>
      </w:r>
      <w:r w:rsidRPr="00946B4D">
        <w:t>e</w:t>
      </w:r>
      <w:r w:rsidRPr="00946B4D">
        <w:t>nia tych słów może nasuwa wniosek, że w gruncie rzeczy ustawodawca nakazuje jedynie umożliwić zarówno</w:t>
      </w:r>
      <w:r w:rsidR="004B7E04" w:rsidRPr="00946B4D">
        <w:t xml:space="preserve"> </w:t>
      </w:r>
      <w:r w:rsidRPr="00946B4D">
        <w:t>podejrzanemu, jak i pokrzywdzonemu pobieżne zapoznanie się z materiałami postępowania. Mając jednak na uwadze znaczenie tej czynności dla tych uczestników postępowania</w:t>
      </w:r>
      <w:r w:rsidR="0091305D">
        <w:t>,</w:t>
      </w:r>
      <w:r w:rsidRPr="00946B4D">
        <w:t xml:space="preserve"> nie sposób prz</w:t>
      </w:r>
      <w:r w:rsidRPr="00946B4D">
        <w:t>y</w:t>
      </w:r>
      <w:r w:rsidRPr="00946B4D">
        <w:t>jąć tak wąskiego</w:t>
      </w:r>
      <w:r w:rsidR="004B7E04" w:rsidRPr="00946B4D">
        <w:t xml:space="preserve"> </w:t>
      </w:r>
      <w:r w:rsidRPr="00946B4D">
        <w:t xml:space="preserve">jego rozumienia. </w:t>
      </w:r>
    </w:p>
    <w:p w:rsidR="002F49F8" w:rsidRPr="00946B4D" w:rsidRDefault="002F49F8" w:rsidP="004B7E04">
      <w:pPr>
        <w:pStyle w:val="tekstprokuratury"/>
      </w:pPr>
      <w:r w:rsidRPr="00946B4D">
        <w:t>Ustawa, inaczej niż w poprzednim stanie prawnym (art. 277 § 1</w:t>
      </w:r>
      <w:r w:rsidR="004B7E04" w:rsidRPr="00946B4D">
        <w:t xml:space="preserve"> </w:t>
      </w:r>
      <w:r w:rsidRPr="00946B4D">
        <w:t>k.p.k. z</w:t>
      </w:r>
      <w:r w:rsidR="00554DA7" w:rsidRPr="00946B4D">
        <w:t> </w:t>
      </w:r>
      <w:r w:rsidRPr="00946B4D">
        <w:t>1969</w:t>
      </w:r>
      <w:r w:rsidR="00FD03C3" w:rsidRPr="00946B4D">
        <w:t xml:space="preserve"> </w:t>
      </w:r>
      <w:r w:rsidRPr="00946B4D">
        <w:t>r.), nie zaznacza, że podejrzany ma być zapoznany ze wszystkimi m</w:t>
      </w:r>
      <w:r w:rsidRPr="00946B4D">
        <w:t>a</w:t>
      </w:r>
      <w:r w:rsidRPr="00946B4D">
        <w:t>teriałami postępowania, lecz – ze względu na znaczenie tej czynności dla realizacji prawa do obrony – trzeba przyjąć, że niedopuszczalna jest jak</w:t>
      </w:r>
      <w:r w:rsidRPr="00946B4D">
        <w:t>a</w:t>
      </w:r>
      <w:r w:rsidRPr="00946B4D">
        <w:t>kolwiek selekcja materiałów; podejrzany musi być zapoznany ze wszystkimi materiałami. Jakiekolwiek ograniczenia prawa do faktycznego zapoznania z</w:t>
      </w:r>
      <w:r w:rsidR="00554DA7" w:rsidRPr="00946B4D">
        <w:t> </w:t>
      </w:r>
      <w:r w:rsidRPr="00946B4D">
        <w:t>materiałami sprawy nie tylko naruszają prawo oskarżonego do obrony, ale także uniemożliwia</w:t>
      </w:r>
      <w:r w:rsidR="00FD03C3" w:rsidRPr="00946B4D">
        <w:t>ją ustalenie prawdy materialnej</w:t>
      </w:r>
      <w:r w:rsidRPr="00946B4D">
        <w:rPr>
          <w:rStyle w:val="Odwoanieprzypisudolnego"/>
          <w:rFonts w:ascii="Arial" w:hAnsi="Arial" w:cs="Arial"/>
          <w:szCs w:val="21"/>
        </w:rPr>
        <w:footnoteReference w:id="26"/>
      </w:r>
      <w:r w:rsidR="00FD03C3" w:rsidRPr="00946B4D">
        <w:t>.</w:t>
      </w:r>
      <w:r w:rsidRPr="00946B4D">
        <w:t xml:space="preserve"> Nie ma też podstaw do ograniczenia zakresu udostępnionych akt pokrzywdzonemu i jego pełn</w:t>
      </w:r>
      <w:r w:rsidRPr="00946B4D">
        <w:t>o</w:t>
      </w:r>
      <w:r w:rsidRPr="00946B4D">
        <w:t>mocnikowi.</w:t>
      </w:r>
      <w:r w:rsidR="0091305D">
        <w:t xml:space="preserve"> </w:t>
      </w:r>
      <w:r w:rsidRPr="00946B4D">
        <w:t>Każdy</w:t>
      </w:r>
      <w:r w:rsidR="004B7E04" w:rsidRPr="00946B4D">
        <w:t xml:space="preserve"> </w:t>
      </w:r>
      <w:r w:rsidRPr="00946B4D">
        <w:t>podejrzany i pokrzywdzony ma prawo sam zapoznać się ze wszystkimi materiałami.</w:t>
      </w:r>
      <w:r w:rsidR="004B7E04" w:rsidRPr="00946B4D">
        <w:t xml:space="preserve"> </w:t>
      </w:r>
    </w:p>
    <w:p w:rsidR="002F49F8" w:rsidRPr="00946B4D" w:rsidRDefault="002F49F8" w:rsidP="004B7E04">
      <w:pPr>
        <w:pStyle w:val="tekstprokuratury"/>
      </w:pPr>
      <w:r w:rsidRPr="00946B4D">
        <w:t>Słusznie podkreśla się w judykaturze, że „Niezaznajomienie podejrzan</w:t>
      </w:r>
      <w:r w:rsidRPr="00946B4D">
        <w:t>e</w:t>
      </w:r>
      <w:r w:rsidRPr="00946B4D">
        <w:t>go ze zgromadzonym w toku postępowania przygotowawczego materi</w:t>
      </w:r>
      <w:r w:rsidRPr="00946B4D">
        <w:t>a</w:t>
      </w:r>
      <w:r w:rsidRPr="00946B4D">
        <w:t>łem dowodowym stanowi istotne uchybienie tego postępowania, mające istotny wpływ na możliwość podjęcia przez niego obrony. Działania te zmierzają do pełnego zorientowania podejrzanego w zebranym w jego sprawie materiale dowodowym, stwarzając przez to możliwość wyjaśnienia ewentualnych ni</w:t>
      </w:r>
      <w:r w:rsidRPr="00946B4D">
        <w:t>e</w:t>
      </w:r>
      <w:r w:rsidRPr="00946B4D">
        <w:t>jasności, wątpliwości lub sprzeczności wyłaniających się na tle zebranych dowodów. Z tego powodu art. 321 § 1 k.p.k. nakłada na prowadzącego p</w:t>
      </w:r>
      <w:r w:rsidRPr="00946B4D">
        <w:t>o</w:t>
      </w:r>
      <w:r w:rsidRPr="00946B4D">
        <w:t>stępowanie przygotowawcze obowiązek zapoznania podejrzanego ze zgr</w:t>
      </w:r>
      <w:r w:rsidRPr="00946B4D">
        <w:t>o</w:t>
      </w:r>
      <w:r w:rsidRPr="00946B4D">
        <w:t>madzonym materiałem dowodowym. Czynność ta obejmuje całość zgrom</w:t>
      </w:r>
      <w:r w:rsidRPr="00946B4D">
        <w:t>a</w:t>
      </w:r>
      <w:r w:rsidRPr="00946B4D">
        <w:t>dzonego w postępowaniu przygotowawczym materiału dowodowego, tj. t</w:t>
      </w:r>
      <w:r w:rsidRPr="00946B4D">
        <w:t>a</w:t>
      </w:r>
      <w:r w:rsidRPr="00946B4D">
        <w:t>kiego, na którego podstawie oskarżyciel sporz</w:t>
      </w:r>
      <w:r w:rsidRPr="00946B4D">
        <w:t>ą</w:t>
      </w:r>
      <w:r w:rsidRPr="00946B4D">
        <w:t>dza akt oskarżenia do sądu. Celem końcowego zaznajomienia podejrz</w:t>
      </w:r>
      <w:r w:rsidRPr="00946B4D">
        <w:t>a</w:t>
      </w:r>
      <w:r w:rsidRPr="00946B4D">
        <w:t>nego z materiałem dowodowym jest możliwość złożenia przez niego w terminie 3 dni od dnia dokonania tej czynności wniosku o uzupełnienie śledztwa”</w:t>
      </w:r>
      <w:r w:rsidRPr="00946B4D">
        <w:rPr>
          <w:rStyle w:val="Odwoanieprzypisudolnego"/>
          <w:rFonts w:ascii="Arial" w:hAnsi="Arial" w:cs="Arial"/>
          <w:szCs w:val="21"/>
        </w:rPr>
        <w:footnoteReference w:id="27"/>
      </w:r>
      <w:r w:rsidR="00FD03C3" w:rsidRPr="00946B4D">
        <w:t>.</w:t>
      </w:r>
      <w:r w:rsidRPr="00946B4D">
        <w:t xml:space="preserve"> </w:t>
      </w:r>
    </w:p>
    <w:p w:rsidR="002F49F8" w:rsidRPr="00946B4D" w:rsidRDefault="002F49F8" w:rsidP="004B7E04">
      <w:pPr>
        <w:pStyle w:val="tekstprokuratury"/>
      </w:pPr>
      <w:r w:rsidRPr="00946B4D">
        <w:lastRenderedPageBreak/>
        <w:t>Niedopuszczalne jest udostępnienie osobie zapoznającej się tylko tych akt, które odnoszą się do niej, a konieczne jest przekazanie np. podejrz</w:t>
      </w:r>
      <w:r w:rsidRPr="00946B4D">
        <w:t>a</w:t>
      </w:r>
      <w:r w:rsidRPr="00946B4D">
        <w:t>nemu do zapoznania także materiałów dotyczących innych podejrzanych, o</w:t>
      </w:r>
      <w:r w:rsidR="00554DA7" w:rsidRPr="00946B4D">
        <w:t> </w:t>
      </w:r>
      <w:r w:rsidRPr="00946B4D">
        <w:t>ile postępowanie przeciwko nim nie zostało zakończone</w:t>
      </w:r>
      <w:r w:rsidRPr="00946B4D">
        <w:rPr>
          <w:rStyle w:val="Odwoanieprzypisudolnego"/>
          <w:rFonts w:ascii="Arial" w:hAnsi="Arial" w:cs="Arial"/>
          <w:szCs w:val="21"/>
        </w:rPr>
        <w:footnoteReference w:id="28"/>
      </w:r>
      <w:r w:rsidR="00FD03C3" w:rsidRPr="00946B4D">
        <w:t>.</w:t>
      </w:r>
      <w:r w:rsidRPr="00946B4D">
        <w:t xml:space="preserve"> Niedopuszcza</w:t>
      </w:r>
      <w:r w:rsidRPr="00946B4D">
        <w:t>l</w:t>
      </w:r>
      <w:r w:rsidRPr="00946B4D">
        <w:t>na jest jakakolwiek selekcja materiału dowodowego zebranego w danym post</w:t>
      </w:r>
      <w:r w:rsidRPr="00946B4D">
        <w:t>ę</w:t>
      </w:r>
      <w:r w:rsidRPr="00946B4D">
        <w:t>powaniu</w:t>
      </w:r>
      <w:r w:rsidRPr="00946B4D">
        <w:rPr>
          <w:rStyle w:val="Odwoanieprzypisudolnego"/>
          <w:rFonts w:ascii="Arial" w:hAnsi="Arial" w:cs="Arial"/>
          <w:szCs w:val="21"/>
        </w:rPr>
        <w:footnoteReference w:id="29"/>
      </w:r>
      <w:r w:rsidR="00FD03C3" w:rsidRPr="00946B4D">
        <w:t>.</w:t>
      </w:r>
      <w:r w:rsidR="004B7E04" w:rsidRPr="00946B4D">
        <w:t xml:space="preserve"> </w:t>
      </w:r>
    </w:p>
    <w:p w:rsidR="002F49F8" w:rsidRPr="00946B4D" w:rsidRDefault="002F49F8" w:rsidP="004B7E04">
      <w:pPr>
        <w:pStyle w:val="tekstprokuratury"/>
      </w:pPr>
      <w:r w:rsidRPr="00946B4D">
        <w:t>Ze względu na indywidualny charakter zapoznania się z materiałami p</w:t>
      </w:r>
      <w:r w:rsidRPr="00946B4D">
        <w:t>o</w:t>
      </w:r>
      <w:r w:rsidRPr="00946B4D">
        <w:t>stępowania niedopuszczalne jest w sprawach wieloosobowych grupowe z</w:t>
      </w:r>
      <w:r w:rsidRPr="00946B4D">
        <w:t>a</w:t>
      </w:r>
      <w:r w:rsidRPr="00946B4D">
        <w:t>poznawanie się przez podejrzanych z materiałami postępowania. W literat</w:t>
      </w:r>
      <w:r w:rsidRPr="00946B4D">
        <w:t>u</w:t>
      </w:r>
      <w:r w:rsidRPr="00946B4D">
        <w:t>rze dopuszczano taką możliwość, na gruncie poprzedniej treści art. 321 §</w:t>
      </w:r>
      <w:r w:rsidR="00554DA7" w:rsidRPr="00946B4D">
        <w:t> </w:t>
      </w:r>
      <w:r w:rsidRPr="00946B4D">
        <w:t>1 k.p.k., wywodząc, że taki sposób zapoznania nie pozbawia celów proces</w:t>
      </w:r>
      <w:r w:rsidRPr="00946B4D">
        <w:t>o</w:t>
      </w:r>
      <w:r w:rsidRPr="00946B4D">
        <w:t>wych tej czynności, a sprzyja ekonomii postępowania, ewentualna zaś ko</w:t>
      </w:r>
      <w:r w:rsidRPr="00946B4D">
        <w:t>n</w:t>
      </w:r>
      <w:r w:rsidRPr="00946B4D">
        <w:t>frontacja postaw podejrzanych w tej fazie postępowania sprzyja realizacji jego zadań</w:t>
      </w:r>
      <w:r w:rsidRPr="00946B4D">
        <w:rPr>
          <w:rStyle w:val="Odwoanieprzypisudolnego"/>
          <w:rFonts w:ascii="Arial" w:hAnsi="Arial" w:cs="Arial"/>
          <w:szCs w:val="21"/>
        </w:rPr>
        <w:footnoteReference w:id="30"/>
      </w:r>
      <w:r w:rsidR="00FD03C3" w:rsidRPr="00946B4D">
        <w:t>.</w:t>
      </w:r>
      <w:r w:rsidRPr="00946B4D">
        <w:t xml:space="preserve"> Nie wykluczano jednak możliwości indywidualnego zapozn</w:t>
      </w:r>
      <w:r w:rsidRPr="00946B4D">
        <w:t>a</w:t>
      </w:r>
      <w:r w:rsidRPr="00946B4D">
        <w:t>nia z aktami</w:t>
      </w:r>
      <w:r w:rsidRPr="00946B4D">
        <w:rPr>
          <w:rStyle w:val="Odwoanieprzypisudolnego"/>
          <w:rFonts w:ascii="Arial" w:hAnsi="Arial" w:cs="Arial"/>
          <w:szCs w:val="21"/>
        </w:rPr>
        <w:footnoteReference w:id="31"/>
      </w:r>
      <w:r w:rsidR="00FD03C3" w:rsidRPr="00946B4D">
        <w:t>.</w:t>
      </w:r>
      <w:r w:rsidRPr="00946B4D">
        <w:t xml:space="preserve"> Pogląd ten był uzasadniony, gdyż organ procesowy zap</w:t>
      </w:r>
      <w:r w:rsidRPr="00946B4D">
        <w:t>o</w:t>
      </w:r>
      <w:r w:rsidRPr="00946B4D">
        <w:t>znawał podejrzanego i jego obrońcę, a nie zapoznawali się sami, mając j</w:t>
      </w:r>
      <w:r w:rsidRPr="00946B4D">
        <w:t>e</w:t>
      </w:r>
      <w:r w:rsidRPr="00946B4D">
        <w:t>dynie możliwość przejrzenia akt. Obecnie jest to niemożliwe, gdyż zbiorowe czytanie akt może być trudne, a ponadto może rozpraszać czyt</w:t>
      </w:r>
      <w:r w:rsidRPr="00946B4D">
        <w:t>a</w:t>
      </w:r>
      <w:r w:rsidRPr="00946B4D">
        <w:t>jącego.</w:t>
      </w:r>
    </w:p>
    <w:p w:rsidR="002F49F8" w:rsidRPr="00946B4D" w:rsidRDefault="002F49F8" w:rsidP="004B7E04">
      <w:pPr>
        <w:pStyle w:val="tekstprokuratury"/>
      </w:pPr>
      <w:r w:rsidRPr="00946B4D">
        <w:t>Zapoznanie się musi mieć charakter osobisty i indywidualny, a w związku z tym, niezależnie od liczby podejrzanych w sprawie, każdy ma prawo oso</w:t>
      </w:r>
      <w:r w:rsidRPr="00946B4D">
        <w:t>b</w:t>
      </w:r>
      <w:r w:rsidRPr="00946B4D">
        <w:t>no zapoznać się z materiałami. Zbiorowe zapoznawanie się podejrzanych z</w:t>
      </w:r>
      <w:r w:rsidR="00554DA7" w:rsidRPr="00946B4D">
        <w:t> </w:t>
      </w:r>
      <w:r w:rsidRPr="00946B4D">
        <w:t>materiałami rodzi niebezpieczeństwo powierzchowności, a nierzadko może prowadzić do niepotrzebnej konfrontacji postaw, determinowanych kolizją interesów procesowych</w:t>
      </w:r>
      <w:r w:rsidRPr="00946B4D">
        <w:rPr>
          <w:rStyle w:val="Odwoanieprzypisudolnego"/>
          <w:rFonts w:ascii="Arial" w:hAnsi="Arial" w:cs="Arial"/>
          <w:szCs w:val="21"/>
        </w:rPr>
        <w:footnoteReference w:id="32"/>
      </w:r>
      <w:r w:rsidRPr="00946B4D">
        <w:t>.</w:t>
      </w:r>
      <w:r w:rsidR="004B7E04" w:rsidRPr="00946B4D">
        <w:t xml:space="preserve"> </w:t>
      </w:r>
    </w:p>
    <w:p w:rsidR="002F49F8" w:rsidRPr="00946B4D" w:rsidRDefault="002F49F8" w:rsidP="008550DE">
      <w:pPr>
        <w:pStyle w:val="podtytul2prokuratury"/>
      </w:pPr>
      <w:r w:rsidRPr="00946B4D">
        <w:t>5. Czas zapoznania</w:t>
      </w:r>
    </w:p>
    <w:p w:rsidR="002F49F8" w:rsidRPr="00946B4D" w:rsidRDefault="002F49F8" w:rsidP="004B7E04">
      <w:pPr>
        <w:pStyle w:val="tekstprokuratury"/>
      </w:pPr>
      <w:r w:rsidRPr="00946B4D">
        <w:t>Ustawa milczy na temat czasu, w którym osoby uprawnione mogą zap</w:t>
      </w:r>
      <w:r w:rsidRPr="00946B4D">
        <w:t>o</w:t>
      </w:r>
      <w:r w:rsidRPr="00946B4D">
        <w:t>znawać się z aktami. Art</w:t>
      </w:r>
      <w:r w:rsidR="00BF039E">
        <w:t>ykuł</w:t>
      </w:r>
      <w:r w:rsidRPr="00946B4D">
        <w:t xml:space="preserve"> 321 § 1 k.p.k. przed nowelizacją </w:t>
      </w:r>
      <w:r w:rsidR="00FD03C3" w:rsidRPr="00946B4D">
        <w:t>z dnia 27</w:t>
      </w:r>
      <w:r w:rsidR="00BF039E">
        <w:t> </w:t>
      </w:r>
      <w:r w:rsidR="00FD03C3" w:rsidRPr="00946B4D">
        <w:t xml:space="preserve">września </w:t>
      </w:r>
      <w:r w:rsidRPr="00946B4D">
        <w:t>2013 r</w:t>
      </w:r>
      <w:r w:rsidR="00FD03C3" w:rsidRPr="00946B4D">
        <w:t>.</w:t>
      </w:r>
      <w:r w:rsidRPr="00946B4D">
        <w:t xml:space="preserve"> przewidywał, że termin ten określał organ procesowy, biorąc pod uwagę zawiłość sprawy. Brak takiego postanowienia w znowel</w:t>
      </w:r>
      <w:r w:rsidRPr="00946B4D">
        <w:t>i</w:t>
      </w:r>
      <w:r w:rsidRPr="00946B4D">
        <w:lastRenderedPageBreak/>
        <w:t>zowanym art. 321 § 1 k.p.k. sugeruje, że organ ten nie może określić okr</w:t>
      </w:r>
      <w:r w:rsidRPr="00946B4D">
        <w:t>e</w:t>
      </w:r>
      <w:r w:rsidRPr="00946B4D">
        <w:t>su, w</w:t>
      </w:r>
      <w:r w:rsidR="0091305D">
        <w:t> </w:t>
      </w:r>
      <w:r w:rsidRPr="00946B4D">
        <w:t>jakim osoby uprawnione mogą zapoznawać się z materiałami. Taka jego interpretacja może prowadzić do paraliżu postępowania w wypadku c</w:t>
      </w:r>
      <w:r w:rsidRPr="00946B4D">
        <w:t>e</w:t>
      </w:r>
      <w:r w:rsidRPr="00946B4D">
        <w:t>lowego prz</w:t>
      </w:r>
      <w:r w:rsidRPr="00946B4D">
        <w:t>e</w:t>
      </w:r>
      <w:r w:rsidRPr="00946B4D">
        <w:t>c</w:t>
      </w:r>
      <w:r w:rsidR="00BB255B" w:rsidRPr="00946B4D">
        <w:t>iągania tej czynności, tłumaczonego przez podejrzanego</w:t>
      </w:r>
      <w:r w:rsidRPr="00946B4D">
        <w:t xml:space="preserve">, np. że nie potrafi szybciej czytać. Dochodziłoby </w:t>
      </w:r>
      <w:r w:rsidR="0091305D">
        <w:t xml:space="preserve">wtedy </w:t>
      </w:r>
      <w:r w:rsidRPr="00946B4D">
        <w:t>do obstrukcji proces</w:t>
      </w:r>
      <w:r w:rsidRPr="00946B4D">
        <w:t>o</w:t>
      </w:r>
      <w:r w:rsidRPr="00946B4D">
        <w:t>wej</w:t>
      </w:r>
      <w:r w:rsidRPr="00946B4D">
        <w:rPr>
          <w:rStyle w:val="Odwoanieprzypisudolnego"/>
          <w:rFonts w:ascii="Arial" w:hAnsi="Arial" w:cs="Arial"/>
          <w:szCs w:val="21"/>
        </w:rPr>
        <w:footnoteReference w:id="33"/>
      </w:r>
      <w:r w:rsidR="0034475C" w:rsidRPr="00946B4D">
        <w:t>.</w:t>
      </w:r>
    </w:p>
    <w:p w:rsidR="002F49F8" w:rsidRPr="00946B4D" w:rsidRDefault="002F49F8" w:rsidP="004B7E04">
      <w:pPr>
        <w:pStyle w:val="tekstprokuratury"/>
      </w:pPr>
      <w:r w:rsidRPr="00946B4D">
        <w:t>Wyznaczenie</w:t>
      </w:r>
      <w:r w:rsidR="004B7E04" w:rsidRPr="00946B4D">
        <w:t xml:space="preserve"> </w:t>
      </w:r>
      <w:r w:rsidRPr="00946B4D">
        <w:t>przez organ</w:t>
      </w:r>
      <w:r w:rsidR="004B7E04" w:rsidRPr="00946B4D">
        <w:t xml:space="preserve"> </w:t>
      </w:r>
      <w:r w:rsidRPr="00946B4D">
        <w:t>procesowy terminu do zapoznania się z akt</w:t>
      </w:r>
      <w:r w:rsidRPr="00946B4D">
        <w:t>a</w:t>
      </w:r>
      <w:r w:rsidRPr="00946B4D">
        <w:t>mi postępowania, o którym mowa w art. 321 § 1 k.p.k., należy rozumieć w</w:t>
      </w:r>
      <w:r w:rsidR="00554DA7" w:rsidRPr="00946B4D">
        <w:t> </w:t>
      </w:r>
      <w:r w:rsidRPr="00946B4D">
        <w:t>ten sposób, że chodzi o wskazanie terminu rozpoczęcia</w:t>
      </w:r>
      <w:r w:rsidR="004B7E04" w:rsidRPr="00946B4D">
        <w:t xml:space="preserve"> </w:t>
      </w:r>
      <w:r w:rsidRPr="00946B4D">
        <w:t>zapoznania się z</w:t>
      </w:r>
      <w:r w:rsidR="00554DA7" w:rsidRPr="00946B4D">
        <w:t> </w:t>
      </w:r>
      <w:r w:rsidRPr="00946B4D">
        <w:t>aktami oraz wyznaczenie odcinka czasowego</w:t>
      </w:r>
      <w:r w:rsidR="004B7E04" w:rsidRPr="00946B4D">
        <w:t xml:space="preserve"> </w:t>
      </w:r>
      <w:r w:rsidRPr="00946B4D">
        <w:t>niezbędnego do dokonania tej czy</w:t>
      </w:r>
      <w:r w:rsidRPr="00946B4D">
        <w:t>n</w:t>
      </w:r>
      <w:r w:rsidRPr="00946B4D">
        <w:t>ności. Ma to być okres, który odpowiada celowi tej czynności. Chodzi o to, aby podejrzany i pokrzywdzony uzyskali wiedzę o rezultatach przeprow</w:t>
      </w:r>
      <w:r w:rsidRPr="00946B4D">
        <w:t>a</w:t>
      </w:r>
      <w:r w:rsidRPr="00946B4D">
        <w:t>dzonego postępowania</w:t>
      </w:r>
      <w:r w:rsidRPr="00946B4D">
        <w:rPr>
          <w:rStyle w:val="Odwoanieprzypisudolnego"/>
          <w:rFonts w:ascii="Arial" w:hAnsi="Arial" w:cs="Arial"/>
          <w:szCs w:val="21"/>
        </w:rPr>
        <w:footnoteReference w:id="34"/>
      </w:r>
      <w:r w:rsidR="0034475C" w:rsidRPr="00946B4D">
        <w:t>.</w:t>
      </w:r>
    </w:p>
    <w:p w:rsidR="002F49F8" w:rsidRPr="00946B4D" w:rsidRDefault="002F49F8" w:rsidP="004B7E04">
      <w:pPr>
        <w:pStyle w:val="tekstprokuratury"/>
      </w:pPr>
      <w:r w:rsidRPr="00946B4D">
        <w:t>Okres ten musi być tak oznaczony, by uprawniony mógł swobodnie z</w:t>
      </w:r>
      <w:r w:rsidRPr="00946B4D">
        <w:t>a</w:t>
      </w:r>
      <w:r w:rsidRPr="00946B4D">
        <w:t>poznać się z całym zebranym materiałem. Nie może być zbyt krótki, poni</w:t>
      </w:r>
      <w:r w:rsidRPr="00946B4D">
        <w:t>e</w:t>
      </w:r>
      <w:r w:rsidRPr="00946B4D">
        <w:t>waż naruszałby prawo podejrzanego do obrony</w:t>
      </w:r>
      <w:r w:rsidRPr="00946B4D">
        <w:rPr>
          <w:rStyle w:val="Odwoanieprzypisudolnego"/>
          <w:rFonts w:ascii="Arial" w:hAnsi="Arial" w:cs="Arial"/>
          <w:szCs w:val="21"/>
        </w:rPr>
        <w:footnoteReference w:id="35"/>
      </w:r>
      <w:r w:rsidRPr="00946B4D">
        <w:t>, jak też zbyt długi, w z</w:t>
      </w:r>
      <w:r w:rsidRPr="00946B4D">
        <w:t>a</w:t>
      </w:r>
      <w:r w:rsidRPr="00946B4D">
        <w:t>kresie żądanym przez podejrzanego lub jego obrońcę, nieproporcjona</w:t>
      </w:r>
      <w:r w:rsidRPr="00946B4D">
        <w:t>l</w:t>
      </w:r>
      <w:r w:rsidRPr="00946B4D">
        <w:t>nym do realnych możliwości zapoznania się z aktami</w:t>
      </w:r>
      <w:r w:rsidRPr="00946B4D">
        <w:rPr>
          <w:rStyle w:val="Odwoanieprzypisudolnego"/>
          <w:rFonts w:ascii="Arial" w:hAnsi="Arial" w:cs="Arial"/>
          <w:szCs w:val="21"/>
        </w:rPr>
        <w:footnoteReference w:id="36"/>
      </w:r>
      <w:r w:rsidR="0034475C" w:rsidRPr="00946B4D">
        <w:t>.</w:t>
      </w:r>
      <w:r w:rsidRPr="00946B4D">
        <w:t xml:space="preserve"> </w:t>
      </w:r>
    </w:p>
    <w:p w:rsidR="002F49F8" w:rsidRPr="00946B4D" w:rsidRDefault="002F49F8" w:rsidP="004B7E04">
      <w:pPr>
        <w:pStyle w:val="tekstprokuratury"/>
      </w:pPr>
      <w:r w:rsidRPr="00946B4D">
        <w:t>Czas ten powinien być określony – co słusznie podnosi się w doktrynie – rzeczowymi potrzebami tej czynności i zależeć od obszerności materiału dowodowego i jego czytelności oraz subiektywnych możliwości podejrzan</w:t>
      </w:r>
      <w:r w:rsidRPr="00946B4D">
        <w:t>e</w:t>
      </w:r>
      <w:r w:rsidRPr="00946B4D">
        <w:t>go co do zapoznania się z nimi</w:t>
      </w:r>
      <w:r w:rsidRPr="00946B4D">
        <w:rPr>
          <w:rStyle w:val="Odwoanieprzypisudolnego"/>
          <w:rFonts w:ascii="Arial" w:hAnsi="Arial" w:cs="Arial"/>
          <w:szCs w:val="21"/>
        </w:rPr>
        <w:footnoteReference w:id="37"/>
      </w:r>
      <w:r w:rsidRPr="00946B4D">
        <w:t xml:space="preserve"> oraz odpowiadający celowi tej czynn</w:t>
      </w:r>
      <w:r w:rsidRPr="00946B4D">
        <w:t>o</w:t>
      </w:r>
      <w:r w:rsidR="00BB255B" w:rsidRPr="00946B4D">
        <w:t xml:space="preserve">ści, którym jest </w:t>
      </w:r>
      <w:r w:rsidRPr="00946B4D">
        <w:t>poznanie przez podejrzanego wiedzy o rezultatach prowadzon</w:t>
      </w:r>
      <w:r w:rsidRPr="00946B4D">
        <w:t>e</w:t>
      </w:r>
      <w:r w:rsidRPr="00946B4D">
        <w:t>go przeciwko niemu postępowania</w:t>
      </w:r>
      <w:r w:rsidRPr="00946B4D">
        <w:rPr>
          <w:rStyle w:val="Odwoanieprzypisudolnego"/>
          <w:rFonts w:ascii="Arial" w:hAnsi="Arial" w:cs="Arial"/>
          <w:szCs w:val="21"/>
        </w:rPr>
        <w:footnoteReference w:id="38"/>
      </w:r>
      <w:r w:rsidR="0034475C" w:rsidRPr="00946B4D">
        <w:t>.</w:t>
      </w:r>
      <w:r w:rsidRPr="00946B4D">
        <w:t xml:space="preserve"> Określając go</w:t>
      </w:r>
      <w:r w:rsidR="0091305D">
        <w:t>,</w:t>
      </w:r>
      <w:r w:rsidRPr="00946B4D">
        <w:t xml:space="preserve"> trzeba brać pod uwagę obszerność materiału, wagę lub zawiłość sprawy (elementy obiektywne) oraz właściwości zapoznającego się, zwłaszcza jego wykształc</w:t>
      </w:r>
      <w:r w:rsidRPr="00946B4D">
        <w:t>e</w:t>
      </w:r>
      <w:r w:rsidRPr="00946B4D">
        <w:t>nie, stan zdrowia (elementy</w:t>
      </w:r>
      <w:r w:rsidR="004B7E04" w:rsidRPr="00946B4D">
        <w:t xml:space="preserve"> </w:t>
      </w:r>
      <w:r w:rsidRPr="00946B4D">
        <w:t>subiektywne).</w:t>
      </w:r>
      <w:r w:rsidR="004B7E04" w:rsidRPr="00946B4D">
        <w:t xml:space="preserve"> </w:t>
      </w:r>
      <w:r w:rsidRPr="00946B4D">
        <w:t>W doktrynie wskazuje się, że należałoby uwzglę</w:t>
      </w:r>
      <w:r w:rsidRPr="00946B4D">
        <w:t>d</w:t>
      </w:r>
      <w:r w:rsidRPr="00946B4D">
        <w:t>nić i to, czy podejrzany korzysta z pomocy obrońcy, czy też swoje prawo do obrony realizuje samodzielnie</w:t>
      </w:r>
      <w:r w:rsidRPr="00946B4D">
        <w:rPr>
          <w:rStyle w:val="Odwoanieprzypisudolnego"/>
          <w:rFonts w:ascii="Arial" w:hAnsi="Arial" w:cs="Arial"/>
          <w:szCs w:val="21"/>
        </w:rPr>
        <w:footnoteReference w:id="39"/>
      </w:r>
      <w:r w:rsidR="0034475C" w:rsidRPr="00946B4D">
        <w:t>.</w:t>
      </w:r>
    </w:p>
    <w:p w:rsidR="002F49F8" w:rsidRPr="00946B4D" w:rsidRDefault="002F49F8" w:rsidP="004B7E04">
      <w:pPr>
        <w:pStyle w:val="tekstprokuratury"/>
      </w:pPr>
      <w:r w:rsidRPr="00946B4D">
        <w:t>Trafnie Sąd Najwyższy wskazał, że do kryteriów tych „zaliczyć należy w</w:t>
      </w:r>
      <w:r w:rsidR="00554DA7" w:rsidRPr="00946B4D">
        <w:t> </w:t>
      </w:r>
      <w:r w:rsidRPr="00946B4D">
        <w:t xml:space="preserve">szczególności: obszerność materiału dowodowego i jego czytelność oraz </w:t>
      </w:r>
      <w:r w:rsidRPr="00946B4D">
        <w:lastRenderedPageBreak/>
        <w:t>indywidualne zdolności percepcyjne podejrzanego, związane np. z jego w</w:t>
      </w:r>
      <w:r w:rsidRPr="00946B4D">
        <w:t>y</w:t>
      </w:r>
      <w:r w:rsidRPr="00946B4D">
        <w:t>kształceniem lub stanem zdrowia. Kierując się tymi kryteriami</w:t>
      </w:r>
      <w:r w:rsidR="0091305D">
        <w:t>,</w:t>
      </w:r>
      <w:r w:rsidRPr="00946B4D">
        <w:t xml:space="preserve"> organ proc</w:t>
      </w:r>
      <w:r w:rsidRPr="00946B4D">
        <w:t>e</w:t>
      </w:r>
      <w:r w:rsidRPr="00946B4D">
        <w:t>sowy powinien określić czas i stworzyć odpowiednie warunki tec</w:t>
      </w:r>
      <w:r w:rsidRPr="00946B4D">
        <w:t>h</w:t>
      </w:r>
      <w:r w:rsidRPr="00946B4D">
        <w:t>niczno</w:t>
      </w:r>
      <w:r w:rsidR="00554DA7" w:rsidRPr="00946B4D">
        <w:t>-</w:t>
      </w:r>
      <w:r w:rsidRPr="00946B4D">
        <w:t>organizacyjne umożliwiające podejrzanemu swobodne zapoznanie się z a</w:t>
      </w:r>
      <w:r w:rsidRPr="00946B4D">
        <w:t>k</w:t>
      </w:r>
      <w:r w:rsidRPr="00946B4D">
        <w:t xml:space="preserve">tami sprawy. (…) </w:t>
      </w:r>
      <w:r w:rsidR="0091305D">
        <w:t>C</w:t>
      </w:r>
      <w:r w:rsidRPr="00946B4D">
        <w:t>hodzi o to, aby podejrzany dysponował odpowiednimi warunkami techniczno</w:t>
      </w:r>
      <w:r w:rsidR="0034475C" w:rsidRPr="00946B4D">
        <w:t>-</w:t>
      </w:r>
      <w:r w:rsidRPr="00946B4D">
        <w:t>organizacyjnymi, a zwłaszcza dostosowanymi do rzeczywistych potrzeb, czasem i swobodą wyboru metody (sposobu) prz</w:t>
      </w:r>
      <w:r w:rsidRPr="00946B4D">
        <w:t>e</w:t>
      </w:r>
      <w:r w:rsidRPr="00946B4D">
        <w:t>prowadzenia tej czynności. Podejrzany nie powinien d</w:t>
      </w:r>
      <w:r w:rsidRPr="00946B4D">
        <w:t>o</w:t>
      </w:r>
      <w:r w:rsidRPr="00946B4D">
        <w:t>znawać ograniczeń w</w:t>
      </w:r>
      <w:r w:rsidR="00554DA7" w:rsidRPr="00946B4D">
        <w:t> </w:t>
      </w:r>
      <w:r w:rsidRPr="00946B4D">
        <w:t>dostępie do akt ani też w sposobie zapoznawania się z nimi; dysponować powinien również czasem uwzględniającym rzeczowe potrzeby prawidłow</w:t>
      </w:r>
      <w:r w:rsidRPr="00946B4D">
        <w:t>e</w:t>
      </w:r>
      <w:r w:rsidR="0034475C" w:rsidRPr="00946B4D">
        <w:t>go dokonania tej czynności</w:t>
      </w:r>
      <w:r w:rsidRPr="00946B4D">
        <w:t>”</w:t>
      </w:r>
      <w:r w:rsidRPr="00946B4D">
        <w:rPr>
          <w:rStyle w:val="Odwoanieprzypisudolnego"/>
          <w:rFonts w:ascii="Arial" w:hAnsi="Arial" w:cs="Arial"/>
          <w:szCs w:val="21"/>
        </w:rPr>
        <w:footnoteReference w:id="40"/>
      </w:r>
      <w:r w:rsidR="0034475C" w:rsidRPr="00946B4D">
        <w:t>.</w:t>
      </w:r>
      <w:r w:rsidRPr="00946B4D">
        <w:t xml:space="preserve"> </w:t>
      </w:r>
    </w:p>
    <w:p w:rsidR="002F49F8" w:rsidRPr="00946B4D" w:rsidRDefault="002F49F8" w:rsidP="004B7E04">
      <w:pPr>
        <w:pStyle w:val="tekstprokuratury"/>
      </w:pPr>
      <w:r w:rsidRPr="00946B4D">
        <w:t>Niedopuszczalne jest ponaglanie zapoznającego się, by szybciej czytał lub uprzedzenie go, że zapoznanie zostanie zakończone w określonym cz</w:t>
      </w:r>
      <w:r w:rsidRPr="00946B4D">
        <w:t>a</w:t>
      </w:r>
      <w:r w:rsidRPr="00946B4D">
        <w:t>sie, nawet jeśli nie przeczyta całych akt, chyba że zbliża się wcześniej z</w:t>
      </w:r>
      <w:r w:rsidRPr="00946B4D">
        <w:t>a</w:t>
      </w:r>
      <w:r w:rsidRPr="00946B4D">
        <w:t>kreślony termin. Zapoznanie z materiami postępowania ma istotny wpływ na realizację przez podejrzanego prawa do obrony, a pokrzywdzonemu umo</w:t>
      </w:r>
      <w:r w:rsidRPr="00946B4D">
        <w:t>ż</w:t>
      </w:r>
      <w:r w:rsidRPr="00946B4D">
        <w:t>liwia dochodzenia swoich praw, zawłaszcza może mu umożl</w:t>
      </w:r>
      <w:r w:rsidRPr="00946B4D">
        <w:t>i</w:t>
      </w:r>
      <w:r w:rsidRPr="00946B4D">
        <w:t>wić wystąpienie w charakterze oskarżyciela posiłkowego (art. 53 k.p.k.). Ponadto</w:t>
      </w:r>
      <w:r w:rsidR="0091305D">
        <w:t>,</w:t>
      </w:r>
      <w:r w:rsidRPr="00946B4D">
        <w:t xml:space="preserve"> wiedza podejrzanego o przebiegu postępowania – jak już po</w:t>
      </w:r>
      <w:r w:rsidRPr="00946B4D">
        <w:t>d</w:t>
      </w:r>
      <w:r w:rsidRPr="00946B4D">
        <w:t>kreślano – zapewnia i</w:t>
      </w:r>
      <w:r w:rsidR="00554DA7" w:rsidRPr="00946B4D">
        <w:t> </w:t>
      </w:r>
      <w:r w:rsidRPr="00946B4D">
        <w:t>gwarantuje jego prawo do obrony, a także umożliwia mu kontrolę wszec</w:t>
      </w:r>
      <w:r w:rsidRPr="00946B4D">
        <w:t>h</w:t>
      </w:r>
      <w:r w:rsidRPr="00946B4D">
        <w:t>stronności i zupełności tego postępowania</w:t>
      </w:r>
      <w:r w:rsidRPr="00946B4D">
        <w:rPr>
          <w:rStyle w:val="Odwoanieprzypisudolnego"/>
          <w:rFonts w:ascii="Arial" w:hAnsi="Arial" w:cs="Arial"/>
          <w:szCs w:val="21"/>
        </w:rPr>
        <w:footnoteReference w:id="41"/>
      </w:r>
      <w:r w:rsidR="0034475C" w:rsidRPr="00946B4D">
        <w:t>.</w:t>
      </w:r>
      <w:r w:rsidRPr="00946B4D">
        <w:t xml:space="preserve"> </w:t>
      </w:r>
    </w:p>
    <w:p w:rsidR="002F49F8" w:rsidRPr="00946B4D" w:rsidRDefault="002F49F8" w:rsidP="004B7E04">
      <w:pPr>
        <w:pStyle w:val="tekstprokuratury"/>
      </w:pPr>
      <w:r w:rsidRPr="00946B4D">
        <w:t>Zarówno podejrzany, jak i pokrzywdzony nie mogą świadomie przedł</w:t>
      </w:r>
      <w:r w:rsidRPr="00946B4D">
        <w:t>u</w:t>
      </w:r>
      <w:r w:rsidRPr="00946B4D">
        <w:t>żać tej czynności. Może to występować w sytuacji, gdy ich zachowanie, a</w:t>
      </w:r>
      <w:r w:rsidR="00554DA7" w:rsidRPr="00946B4D">
        <w:t> </w:t>
      </w:r>
      <w:r w:rsidRPr="00946B4D">
        <w:t>zazwyczaj podejrzanego świadczy o tendencyjnym nadużywaniu tego prawa, np. przepisywaniu całych akt, co przy obfitości materiału dowodow</w:t>
      </w:r>
      <w:r w:rsidRPr="00946B4D">
        <w:t>e</w:t>
      </w:r>
      <w:r w:rsidRPr="00946B4D">
        <w:t>go okazać się może niewykonalne w terminie możliwym do zaakceptowania z</w:t>
      </w:r>
      <w:r w:rsidR="00554DA7" w:rsidRPr="00946B4D">
        <w:t> </w:t>
      </w:r>
      <w:r w:rsidRPr="00946B4D">
        <w:t>punktu widzenia interesów prowadzonego postępowania. Trafnie w judyk</w:t>
      </w:r>
      <w:r w:rsidRPr="00946B4D">
        <w:t>a</w:t>
      </w:r>
      <w:r w:rsidRPr="00946B4D">
        <w:t>turze zwraca się uwagę, że organ prowadzący lub nadzorujący postępow</w:t>
      </w:r>
      <w:r w:rsidRPr="00946B4D">
        <w:t>a</w:t>
      </w:r>
      <w:r w:rsidRPr="00946B4D">
        <w:t>nie przygotowawcze ma nie tylko prawo, ale wręcz obowiązek przeciwdzi</w:t>
      </w:r>
      <w:r w:rsidRPr="00946B4D">
        <w:t>a</w:t>
      </w:r>
      <w:r w:rsidRPr="00946B4D">
        <w:t>łania tego typu zachowaniom, zobowiązany jest bowiem do czuwania nad sposobem korzystania przez podejrzanego z tego prawa, a celowe naduż</w:t>
      </w:r>
      <w:r w:rsidRPr="00946B4D">
        <w:t>y</w:t>
      </w:r>
      <w:r w:rsidRPr="00946B4D">
        <w:t>cie przez podejrzanego prawa do przeglądania akt stwarza zagrożenie dla szybkości prowadzonego postępowania i</w:t>
      </w:r>
      <w:r w:rsidR="0091305D">
        <w:t>,</w:t>
      </w:r>
      <w:r w:rsidRPr="00946B4D">
        <w:t xml:space="preserve"> aby tego uniknąć</w:t>
      </w:r>
      <w:r w:rsidR="0091305D">
        <w:t>,</w:t>
      </w:r>
      <w:r w:rsidRPr="00946B4D">
        <w:t xml:space="preserve"> organ prow</w:t>
      </w:r>
      <w:r w:rsidRPr="00946B4D">
        <w:t>a</w:t>
      </w:r>
      <w:r w:rsidRPr="00946B4D">
        <w:t>dzący postępowanie przygotowawcze powinien oznaczyć końcowy termin tej czynności lub podjąć inne działania, np. doręczyć mu kserokopię pozostał</w:t>
      </w:r>
      <w:r w:rsidRPr="00946B4D">
        <w:t>e</w:t>
      </w:r>
      <w:r w:rsidRPr="00946B4D">
        <w:lastRenderedPageBreak/>
        <w:t>go (nieprzejrzanego) materiału dowodowego</w:t>
      </w:r>
      <w:r w:rsidRPr="00946B4D">
        <w:rPr>
          <w:rStyle w:val="Odwoanieprzypisudolnego"/>
          <w:rFonts w:ascii="Arial" w:hAnsi="Arial" w:cs="Arial"/>
          <w:szCs w:val="21"/>
        </w:rPr>
        <w:footnoteReference w:id="42"/>
      </w:r>
      <w:r w:rsidR="0034475C" w:rsidRPr="00946B4D">
        <w:t>.</w:t>
      </w:r>
      <w:r w:rsidRPr="00946B4D">
        <w:t xml:space="preserve"> Mając na uwadze, że pode</w:t>
      </w:r>
      <w:r w:rsidRPr="00946B4D">
        <w:t>j</w:t>
      </w:r>
      <w:r w:rsidRPr="00946B4D">
        <w:t>rzany nie powinien doznawać ograniczeń w dostępie do akt, jak też powinien dysponować czasem uwzględniającym rzeczowe potrzeby prawidłowego dokonania tej czynności, nie można dopuścić do tego, by podejrzany w sp</w:t>
      </w:r>
      <w:r w:rsidRPr="00946B4D">
        <w:t>o</w:t>
      </w:r>
      <w:r w:rsidRPr="00946B4D">
        <w:t>sób wyraźnie świadczący o tendencyjnym nadużywaniu prawa blokował lub przedłużał prowadzenie postępowania. Słusznie wskazuje się w literaturze, że organ procesowy musi interweniować w wypadku ostentacyjnego prz</w:t>
      </w:r>
      <w:r w:rsidRPr="00946B4D">
        <w:t>e</w:t>
      </w:r>
      <w:r w:rsidRPr="00946B4D">
        <w:t>dłużania tej czynności przez zapoznającego się, gdy zła wola podejrzanego jest oczywista, w przeciwnym wypadku organ ten dopuści się ciężkiego n</w:t>
      </w:r>
      <w:r w:rsidRPr="00946B4D">
        <w:t>a</w:t>
      </w:r>
      <w:r w:rsidRPr="00946B4D">
        <w:t>ruszenia prawa do obrony</w:t>
      </w:r>
      <w:r w:rsidRPr="00946B4D">
        <w:rPr>
          <w:rStyle w:val="Odwoanieprzypisudolnego"/>
          <w:rFonts w:ascii="Arial" w:hAnsi="Arial" w:cs="Arial"/>
          <w:szCs w:val="21"/>
        </w:rPr>
        <w:footnoteReference w:id="43"/>
      </w:r>
      <w:r w:rsidR="0034475C" w:rsidRPr="00946B4D">
        <w:t>.</w:t>
      </w:r>
    </w:p>
    <w:p w:rsidR="002F49F8" w:rsidRPr="00946B4D" w:rsidRDefault="002F49F8" w:rsidP="004B7E04">
      <w:pPr>
        <w:pStyle w:val="tekstprokuratury"/>
      </w:pPr>
      <w:r w:rsidRPr="00946B4D">
        <w:t>Prawo do osobistego zapoznania się przez podejrzanego i pokrzywdz</w:t>
      </w:r>
      <w:r w:rsidRPr="00946B4D">
        <w:t>o</w:t>
      </w:r>
      <w:r w:rsidRPr="00946B4D">
        <w:t>nego z materiałami zebranymi powinno mieścić się w granicach uzasadni</w:t>
      </w:r>
      <w:r w:rsidRPr="00946B4D">
        <w:t>o</w:t>
      </w:r>
      <w:r w:rsidRPr="00946B4D">
        <w:t>nych rzeczowymi potrzebami tej czynności</w:t>
      </w:r>
      <w:r w:rsidRPr="00946B4D">
        <w:rPr>
          <w:rStyle w:val="Odwoanieprzypisudolnego"/>
          <w:rFonts w:ascii="Arial" w:hAnsi="Arial" w:cs="Arial"/>
          <w:szCs w:val="21"/>
        </w:rPr>
        <w:footnoteReference w:id="44"/>
      </w:r>
      <w:r w:rsidRPr="00946B4D">
        <w:t>.</w:t>
      </w:r>
    </w:p>
    <w:p w:rsidR="002F49F8" w:rsidRPr="00946B4D" w:rsidRDefault="002F49F8" w:rsidP="004B7E04">
      <w:pPr>
        <w:pStyle w:val="tekstprokuratury"/>
      </w:pPr>
      <w:r w:rsidRPr="00946B4D">
        <w:t>Jeżeli okres zapoznania się z aktami określony przez organ procesowy był wystarczający do zrealizowania tego uprawnienia, nie można powoł</w:t>
      </w:r>
      <w:r w:rsidRPr="00946B4D">
        <w:t>y</w:t>
      </w:r>
      <w:r w:rsidRPr="00946B4D">
        <w:t>wać się na naruszenie tego przepisu. Słusznie Sąd Najwyższy podkreślił, że „C</w:t>
      </w:r>
      <w:r w:rsidRPr="00946B4D">
        <w:t>e</w:t>
      </w:r>
      <w:r w:rsidRPr="00946B4D">
        <w:t>lowe niekorzystanie przez podejrzanego z tego uprawnienia (…) – zmierz</w:t>
      </w:r>
      <w:r w:rsidRPr="00946B4D">
        <w:t>a</w:t>
      </w:r>
      <w:r w:rsidRPr="00946B4D">
        <w:t>jące do przewlekania postępowania – może być uznane za na</w:t>
      </w:r>
      <w:r w:rsidRPr="00946B4D">
        <w:t>d</w:t>
      </w:r>
      <w:r w:rsidRPr="00946B4D">
        <w:t>użycie prawa do obrony”</w:t>
      </w:r>
      <w:r w:rsidRPr="00946B4D">
        <w:rPr>
          <w:rStyle w:val="Odwoanieprzypisudolnego"/>
          <w:rFonts w:ascii="Arial" w:hAnsi="Arial" w:cs="Arial"/>
          <w:szCs w:val="21"/>
        </w:rPr>
        <w:footnoteReference w:id="45"/>
      </w:r>
      <w:r w:rsidR="0034475C" w:rsidRPr="00946B4D">
        <w:t>.</w:t>
      </w:r>
      <w:r w:rsidRPr="00946B4D">
        <w:t xml:space="preserve"> </w:t>
      </w:r>
    </w:p>
    <w:p w:rsidR="002F49F8" w:rsidRPr="00946B4D" w:rsidRDefault="002F49F8" w:rsidP="0034475C">
      <w:pPr>
        <w:pStyle w:val="podtytul2prokuratury"/>
      </w:pPr>
      <w:r w:rsidRPr="00946B4D">
        <w:t>6. Poinformowanie o materiałach przekazywanych sądowi wraz z aktem oskarżenia</w:t>
      </w:r>
    </w:p>
    <w:p w:rsidR="002F49F8" w:rsidRPr="00946B4D" w:rsidRDefault="002F49F8" w:rsidP="004B7E04">
      <w:pPr>
        <w:pStyle w:val="tekstprokuratury"/>
      </w:pPr>
      <w:r w:rsidRPr="00946B4D">
        <w:t>Z aktem oskarżenia nie przekazuje się sądowi akt postępowania przyg</w:t>
      </w:r>
      <w:r w:rsidRPr="00946B4D">
        <w:t>o</w:t>
      </w:r>
      <w:r w:rsidRPr="00946B4D">
        <w:t>towawczego, a – zgodnie z art. 334 § 1 k.p.k. – jedynie materiały postęp</w:t>
      </w:r>
      <w:r w:rsidRPr="00946B4D">
        <w:t>o</w:t>
      </w:r>
      <w:r w:rsidRPr="00946B4D">
        <w:t>wania przygotowawczego związane z kwestią odpowiedzialności osób wskazanych w tym akcie za czyny w nim zarzucane, obejmujące; 1) post</w:t>
      </w:r>
      <w:r w:rsidRPr="00946B4D">
        <w:t>a</w:t>
      </w:r>
      <w:r w:rsidRPr="00946B4D">
        <w:t>nowienia i zarządzenia dotyczące tych osób wydane w toku postęp</w:t>
      </w:r>
      <w:r w:rsidRPr="00946B4D">
        <w:t>o</w:t>
      </w:r>
      <w:r w:rsidRPr="00946B4D">
        <w:t>wania, 2) protokoły z czynności dowodowych i załączniki do nich przewidziane przez ustawę, np. rejestracje obrazu i dźwięku, stenogramy oraz opinie uz</w:t>
      </w:r>
      <w:r w:rsidRPr="00946B4D">
        <w:t>y</w:t>
      </w:r>
      <w:r w:rsidRPr="00946B4D">
        <w:t>skane w toku dochodzenia lub śledztwa i dokumenty pozyskane przez org</w:t>
      </w:r>
      <w:r w:rsidRPr="00946B4D">
        <w:t>a</w:t>
      </w:r>
      <w:r w:rsidRPr="00946B4D">
        <w:t>ny lub złożone przez strony, 3) opinie i dokumenty urzędowe oraz prywatne uzyskane lub złożone do akt sprawy (art. 334 § 1 k.p.k.).</w:t>
      </w:r>
    </w:p>
    <w:p w:rsidR="002F49F8" w:rsidRPr="00946B4D" w:rsidRDefault="002F49F8" w:rsidP="004B7E04">
      <w:pPr>
        <w:pStyle w:val="tekstprokuratury"/>
      </w:pPr>
      <w:r w:rsidRPr="00946B4D">
        <w:t>Zarówno podejrzany, jak i pokrzywdzony są uprawnieni do żądania,</w:t>
      </w:r>
      <w:r w:rsidR="004B7E04" w:rsidRPr="00946B4D">
        <w:t xml:space="preserve"> </w:t>
      </w:r>
      <w:r w:rsidRPr="00946B4D">
        <w:t>po zapoznaniu się z aktami postępowania przygotowawczego, aby oskarż</w:t>
      </w:r>
      <w:r w:rsidRPr="00946B4D">
        <w:t>y</w:t>
      </w:r>
      <w:r w:rsidRPr="00946B4D">
        <w:t>ciel publiczny dołączył do aktu oskarżenia również inne, wskazane w tym żąd</w:t>
      </w:r>
      <w:r w:rsidRPr="00946B4D">
        <w:t>a</w:t>
      </w:r>
      <w:r w:rsidRPr="00946B4D">
        <w:t>niu, materiały tego postępowania. Jest to istotne uprawnienie, gdyż niezgł</w:t>
      </w:r>
      <w:r w:rsidRPr="00946B4D">
        <w:t>o</w:t>
      </w:r>
      <w:r w:rsidRPr="00946B4D">
        <w:lastRenderedPageBreak/>
        <w:t>szenie takiego żądania może spowodować niemożność ich wyk</w:t>
      </w:r>
      <w:r w:rsidRPr="00946B4D">
        <w:t>o</w:t>
      </w:r>
      <w:r w:rsidRPr="00946B4D">
        <w:t>rzystania</w:t>
      </w:r>
      <w:r w:rsidR="004B7E04" w:rsidRPr="00946B4D">
        <w:t xml:space="preserve"> </w:t>
      </w:r>
      <w:r w:rsidRPr="00946B4D">
        <w:t>przed sądem. Rozwiązanie to – co słusznie podkreślono w uz</w:t>
      </w:r>
      <w:r w:rsidRPr="00946B4D">
        <w:t>a</w:t>
      </w:r>
      <w:r w:rsidRPr="00946B4D">
        <w:t>sadnieniu noweli – powoduje, że rośnie rola końcowego zaznajomienia stron i ich pr</w:t>
      </w:r>
      <w:r w:rsidRPr="00946B4D">
        <w:t>o</w:t>
      </w:r>
      <w:r w:rsidRPr="00946B4D">
        <w:t>cesowych przedstawicieli z</w:t>
      </w:r>
      <w:r w:rsidR="0034475C" w:rsidRPr="00946B4D">
        <w:t xml:space="preserve"> </w:t>
      </w:r>
      <w:r w:rsidRPr="00946B4D">
        <w:t>materiałami sprawy i kontradyktoryjności post</w:t>
      </w:r>
      <w:r w:rsidRPr="00946B4D">
        <w:t>ę</w:t>
      </w:r>
      <w:r w:rsidRPr="00946B4D">
        <w:t>powania sądowego</w:t>
      </w:r>
      <w:r w:rsidRPr="00946B4D">
        <w:rPr>
          <w:rStyle w:val="Odwoanieprzypisudolnego"/>
          <w:rFonts w:ascii="Arial" w:hAnsi="Arial" w:cs="Arial"/>
          <w:szCs w:val="21"/>
        </w:rPr>
        <w:footnoteReference w:id="46"/>
      </w:r>
      <w:r w:rsidR="0034475C" w:rsidRPr="00946B4D">
        <w:t>.</w:t>
      </w:r>
      <w:r w:rsidRPr="00946B4D">
        <w:t xml:space="preserve"> Możliwości wykorzystania tego uprawnienia przez p</w:t>
      </w:r>
      <w:r w:rsidRPr="00946B4D">
        <w:t>o</w:t>
      </w:r>
      <w:r w:rsidRPr="00946B4D">
        <w:t>dejrzanego występującego bez obrońcy lub p</w:t>
      </w:r>
      <w:r w:rsidRPr="00946B4D">
        <w:t>o</w:t>
      </w:r>
      <w:r w:rsidRPr="00946B4D">
        <w:t>krzywdzonego niemającego pełnomocnika są ograniczone, gdyż</w:t>
      </w:r>
      <w:r w:rsidR="004B7E04" w:rsidRPr="00946B4D">
        <w:t xml:space="preserve"> </w:t>
      </w:r>
      <w:r w:rsidRPr="00946B4D">
        <w:t>mogą</w:t>
      </w:r>
      <w:r w:rsidR="004B7E04" w:rsidRPr="00946B4D">
        <w:t xml:space="preserve"> </w:t>
      </w:r>
      <w:r w:rsidR="0091305D">
        <w:t xml:space="preserve">oni </w:t>
      </w:r>
      <w:r w:rsidRPr="00946B4D">
        <w:t>mieć trudności z oceną wa</w:t>
      </w:r>
      <w:r w:rsidRPr="00946B4D">
        <w:t>r</w:t>
      </w:r>
      <w:r w:rsidRPr="00946B4D">
        <w:t>tości dowodowych materiałów niedołączanych do aktu oskarżenia, co zn</w:t>
      </w:r>
      <w:r w:rsidRPr="00946B4D">
        <w:t>a</w:t>
      </w:r>
      <w:r w:rsidRPr="00946B4D">
        <w:t>czenie osłabia pozycję tych stron. Możliwości realizacji tego uprawnienia sprzyja ciążący na organie postępowania przygotowawczego obowiązek wskazania, jakie materiały z tych akt zostaną przekazane sądowi wraz z</w:t>
      </w:r>
      <w:r w:rsidR="0091305D">
        <w:t> </w:t>
      </w:r>
      <w:r w:rsidRPr="00946B4D">
        <w:t>aktem oskarżenia, i pouczeniem zapoznających się z materiałami o uprawnieniu żądania dołączenia jeszcze innych, co odnotowuje się w prot</w:t>
      </w:r>
      <w:r w:rsidRPr="00946B4D">
        <w:t>o</w:t>
      </w:r>
      <w:r w:rsidRPr="00946B4D">
        <w:t>kole końcowego zapoznania się strony, obrońcy lub pełnomocnika z mat</w:t>
      </w:r>
      <w:r w:rsidRPr="00946B4D">
        <w:t>e</w:t>
      </w:r>
      <w:r w:rsidRPr="00946B4D">
        <w:t>riałami postępowania (art. 321 § 1</w:t>
      </w:r>
      <w:r w:rsidR="004B7E04" w:rsidRPr="00946B4D">
        <w:t xml:space="preserve"> </w:t>
      </w:r>
      <w:r w:rsidRPr="00946B4D">
        <w:t>k.p.k.).</w:t>
      </w:r>
    </w:p>
    <w:p w:rsidR="002F49F8" w:rsidRPr="00946B4D" w:rsidRDefault="002F49F8" w:rsidP="004B7E04">
      <w:pPr>
        <w:pStyle w:val="tekstprokuratury"/>
      </w:pPr>
      <w:r w:rsidRPr="00946B4D">
        <w:t>Strony, obrońcy i pełnomocnicy mogą to uczynić także po skierowaniu aktu oskarżenia do sądu do czasu rozpoczęcia przewodu sądowego, z tym że o uwzględnieniu wniosku sąd rozstrzyga w miarę możności jeszcze przed otwarciem przewodu sądowego (art. 338 § 2 k.p.k.).</w:t>
      </w:r>
      <w:r w:rsidR="004B7E04" w:rsidRPr="00946B4D">
        <w:t xml:space="preserve"> </w:t>
      </w:r>
      <w:r w:rsidRPr="00946B4D">
        <w:t>O ile</w:t>
      </w:r>
      <w:r w:rsidR="004B7E04" w:rsidRPr="00946B4D">
        <w:t xml:space="preserve"> </w:t>
      </w:r>
      <w:r w:rsidRPr="00946B4D">
        <w:t>wniosek o doł</w:t>
      </w:r>
      <w:r w:rsidRPr="00946B4D">
        <w:t>ą</w:t>
      </w:r>
      <w:r w:rsidRPr="00946B4D">
        <w:t>czenie określonych materiałów zgłoszony po zapoznaniu się z a</w:t>
      </w:r>
      <w:r w:rsidRPr="00946B4D">
        <w:t>k</w:t>
      </w:r>
      <w:r w:rsidRPr="00946B4D">
        <w:t>tami musi być uwzględniony i prokurator lub organ dochodzeniowy nie może tego nie uczynić, o tyle jego uwzględnienie w postępowaniu sąd</w:t>
      </w:r>
      <w:r w:rsidRPr="00946B4D">
        <w:t>o</w:t>
      </w:r>
      <w:r w:rsidRPr="00946B4D">
        <w:t>wym zależne jest od decyzji sądu. Oskarżonemu przypomina się o</w:t>
      </w:r>
      <w:r w:rsidR="004B7E04" w:rsidRPr="00946B4D">
        <w:t xml:space="preserve"> </w:t>
      </w:r>
      <w:r w:rsidRPr="00946B4D">
        <w:t>możl</w:t>
      </w:r>
      <w:r w:rsidRPr="00946B4D">
        <w:t>i</w:t>
      </w:r>
      <w:r w:rsidRPr="00946B4D">
        <w:t>wości złożenia takiego wniosku przy doręczaniu aktu oskarżenia. Zgodnie z art. 338 § 1 k.p.k. pr</w:t>
      </w:r>
      <w:r w:rsidRPr="00946B4D">
        <w:t>e</w:t>
      </w:r>
      <w:r w:rsidRPr="00946B4D">
        <w:t>zes sądu lub referendarz sądowy, zarządzając jego doręczenie oskarżon</w:t>
      </w:r>
      <w:r w:rsidRPr="00946B4D">
        <w:t>e</w:t>
      </w:r>
      <w:r w:rsidRPr="00946B4D">
        <w:t>mu, poucza go o prawie do złożenia wniosku o z</w:t>
      </w:r>
      <w:r w:rsidRPr="00946B4D">
        <w:t>o</w:t>
      </w:r>
      <w:r w:rsidRPr="00946B4D">
        <w:t>bowiązanie prokuratora do uzupełnienia materiałów postępowania przyg</w:t>
      </w:r>
      <w:r w:rsidRPr="00946B4D">
        <w:t>o</w:t>
      </w:r>
      <w:r w:rsidRPr="00946B4D">
        <w:t>towawczego dołączonych do aktu oskarżenia o określone dokumenty zawarte w aktach tego postępow</w:t>
      </w:r>
      <w:r w:rsidRPr="00946B4D">
        <w:t>a</w:t>
      </w:r>
      <w:r w:rsidRPr="00946B4D">
        <w:t xml:space="preserve">nia, gdy ma to znaczenie dla interesu oskarżonego. </w:t>
      </w:r>
    </w:p>
    <w:p w:rsidR="002F49F8" w:rsidRPr="00946B4D" w:rsidRDefault="002F49F8" w:rsidP="0034475C">
      <w:pPr>
        <w:pStyle w:val="podtytul2prokuratury"/>
      </w:pPr>
      <w:r w:rsidRPr="00946B4D">
        <w:t>7. Dokumentowanie zapoznania</w:t>
      </w:r>
    </w:p>
    <w:p w:rsidR="002F49F8" w:rsidRPr="00946B4D" w:rsidRDefault="002F49F8" w:rsidP="004B7E04">
      <w:pPr>
        <w:pStyle w:val="tekstprokuratury"/>
      </w:pPr>
      <w:r w:rsidRPr="00946B4D">
        <w:t>Z czynności końcowego zapoznania się podejrzanego, pokrzywdzonego oraz obrońców i pełnomocników z materiałami postępowania przygot</w:t>
      </w:r>
      <w:r w:rsidRPr="00946B4D">
        <w:t>o</w:t>
      </w:r>
      <w:r w:rsidRPr="00946B4D">
        <w:t>wawczego sporządzą się protokół (art. 143 § 1 pkt 8 k.p.k.). Jego sporz</w:t>
      </w:r>
      <w:r w:rsidRPr="00946B4D">
        <w:t>ą</w:t>
      </w:r>
      <w:r w:rsidRPr="00946B4D">
        <w:t>dzenie jest obligatoryjne. Zamieszcza się w nim informację</w:t>
      </w:r>
      <w:r w:rsidR="004B7E04" w:rsidRPr="00946B4D">
        <w:t xml:space="preserve"> </w:t>
      </w:r>
      <w:r w:rsidRPr="00946B4D">
        <w:t>o zaznajamianiu z aktami z zaznaczeniem czasu trwania tej czynności, niestawiennictwie p</w:t>
      </w:r>
      <w:r w:rsidRPr="00946B4D">
        <w:t>o</w:t>
      </w:r>
      <w:r w:rsidRPr="00946B4D">
        <w:t>dejrzanego lub jego obrońcy albo pokrzywdzonego i jego pełnomocnika oraz skutkach co do dalszego biegu postępowania, pouczeniu podejrzanego i</w:t>
      </w:r>
      <w:r w:rsidR="00554DA7" w:rsidRPr="00946B4D">
        <w:t> </w:t>
      </w:r>
      <w:r w:rsidRPr="00946B4D">
        <w:t xml:space="preserve">pokrzywdzonego o prawie zgłoszenia wniosków o uzupełnienie śledztwa lub dochodzenia, a także o uzupełnienie materiału dowodowego, który ma </w:t>
      </w:r>
      <w:r w:rsidRPr="00946B4D">
        <w:lastRenderedPageBreak/>
        <w:t>być przekazany sądowi wraz z aktem oskarżenia, o określone dokumenty zawa</w:t>
      </w:r>
      <w:r w:rsidRPr="00946B4D">
        <w:t>r</w:t>
      </w:r>
      <w:r w:rsidRPr="00946B4D">
        <w:t>te w aktach sprawy. Podejrzany i</w:t>
      </w:r>
      <w:r w:rsidR="00554DA7" w:rsidRPr="00946B4D">
        <w:t xml:space="preserve"> </w:t>
      </w:r>
      <w:r w:rsidRPr="00946B4D">
        <w:t>jego obrońca oraz pokrzywdzony i</w:t>
      </w:r>
      <w:r w:rsidR="00554DA7" w:rsidRPr="00946B4D">
        <w:t> </w:t>
      </w:r>
      <w:r w:rsidRPr="00946B4D">
        <w:t>jego pełnomocnik</w:t>
      </w:r>
      <w:r w:rsidR="004B7E04" w:rsidRPr="00946B4D">
        <w:t xml:space="preserve"> </w:t>
      </w:r>
      <w:r w:rsidRPr="00946B4D">
        <w:t>mają prawo żądać umieszczenia w protokole z pełną d</w:t>
      </w:r>
      <w:r w:rsidRPr="00946B4D">
        <w:t>o</w:t>
      </w:r>
      <w:r w:rsidRPr="00946B4D">
        <w:t>kładnością wszystkich uwag i oświadczeń (art. 148 § 2 k.p.k.).</w:t>
      </w:r>
      <w:r w:rsidR="004B7E04" w:rsidRPr="00946B4D">
        <w:t xml:space="preserve"> </w:t>
      </w:r>
      <w:r w:rsidRPr="00946B4D">
        <w:t>Ponadto</w:t>
      </w:r>
      <w:r w:rsidR="0091305D">
        <w:t>,</w:t>
      </w:r>
      <w:r w:rsidRPr="00946B4D">
        <w:t xml:space="preserve"> m</w:t>
      </w:r>
      <w:r w:rsidRPr="00946B4D">
        <w:t>a</w:t>
      </w:r>
      <w:r w:rsidRPr="00946B4D">
        <w:t>ją</w:t>
      </w:r>
      <w:r w:rsidR="004B7E04" w:rsidRPr="00946B4D">
        <w:t xml:space="preserve"> </w:t>
      </w:r>
      <w:r w:rsidRPr="00946B4D">
        <w:t>prawo żądać odczytania wszystkich ich wypowiedzi zamieszczonych w</w:t>
      </w:r>
      <w:r w:rsidR="0091305D">
        <w:t> </w:t>
      </w:r>
      <w:r w:rsidRPr="00946B4D">
        <w:t>protokole (art. 148 § 4 k.p.k.).</w:t>
      </w:r>
    </w:p>
    <w:p w:rsidR="002F49F8" w:rsidRPr="00946B4D" w:rsidRDefault="002F49F8" w:rsidP="004B7E04">
      <w:pPr>
        <w:pStyle w:val="tekstprokuratury"/>
      </w:pPr>
      <w:r w:rsidRPr="00946B4D">
        <w:t>Protokół ten podpisują wszystkie osoby biorące udział w czynności, a</w:t>
      </w:r>
      <w:r w:rsidR="00554DA7" w:rsidRPr="00946B4D">
        <w:t> </w:t>
      </w:r>
      <w:r w:rsidRPr="00946B4D">
        <w:t>przed podpisaniem podlega on odczytaniu, o czym czyni się wzmiankę (art. 150 § 1</w:t>
      </w:r>
      <w:r w:rsidR="004B7E04" w:rsidRPr="00946B4D">
        <w:t xml:space="preserve"> </w:t>
      </w:r>
      <w:r w:rsidRPr="00946B4D">
        <w:t>k.p.k.). Mogą też zgłosić zarzuty co do treści protokołu, które wciąga się do protokołu wraz z oświadczeniem osoby wykonującej czynność prot</w:t>
      </w:r>
      <w:r w:rsidRPr="00946B4D">
        <w:t>o</w:t>
      </w:r>
      <w:r w:rsidRPr="00946B4D">
        <w:t>kołowaną, tj. przeprowadzającego czynność zapoznania (art. 150 § 2 k.p.k.).</w:t>
      </w:r>
    </w:p>
    <w:p w:rsidR="002F49F8" w:rsidRPr="00946B4D" w:rsidRDefault="002F49F8" w:rsidP="0034475C">
      <w:pPr>
        <w:pStyle w:val="podtytul2prokuratury"/>
      </w:pPr>
      <w:r w:rsidRPr="00946B4D">
        <w:t>8. Wnioski o uzupełnienie postępowania</w:t>
      </w:r>
    </w:p>
    <w:p w:rsidR="002F49F8" w:rsidRPr="00946B4D" w:rsidRDefault="002F49F8" w:rsidP="004B7E04">
      <w:pPr>
        <w:pStyle w:val="tekstprokuratury"/>
      </w:pPr>
      <w:r w:rsidRPr="00946B4D">
        <w:t>W terminie 3 dni od dnia zapoznania się z materiałami postępowania p</w:t>
      </w:r>
      <w:r w:rsidRPr="00946B4D">
        <w:t>o</w:t>
      </w:r>
      <w:r w:rsidRPr="00946B4D">
        <w:t>dejrzany, pokrzywdzony, obrońca lub pełnomocnik może złożyć</w:t>
      </w:r>
      <w:r w:rsidR="004B7E04" w:rsidRPr="00946B4D">
        <w:t xml:space="preserve"> </w:t>
      </w:r>
      <w:r w:rsidRPr="00946B4D">
        <w:t>wniosek o</w:t>
      </w:r>
      <w:r w:rsidR="00554DA7" w:rsidRPr="00946B4D">
        <w:t> </w:t>
      </w:r>
      <w:r w:rsidRPr="00946B4D">
        <w:t>uzupełnienie śledztwa lub dochodzenia, a także o uzupełnienie materiału dowodowego, który ma być przekazany sądowi wraz z aktem oskarżenia, o</w:t>
      </w:r>
      <w:r w:rsidR="00554DA7" w:rsidRPr="00946B4D">
        <w:t> </w:t>
      </w:r>
      <w:r w:rsidRPr="00946B4D">
        <w:t>określone dokumenty zawarte w aktach sprawy (art. 321 § 5 k.p.k.). Wni</w:t>
      </w:r>
      <w:r w:rsidRPr="00946B4D">
        <w:t>o</w:t>
      </w:r>
      <w:r w:rsidRPr="00946B4D">
        <w:t>sek może być złożony ustnie do protokołu zapoznania się podejrzanego lub pokrzywdzonego z materiałami postępowania albo na piśmie. Powinien określać sposób uzupełnienia śledztwa lub dochodzenia przez wymienienie czynności, które mają być dokonane. W zakresie uzupełnienia materiału dowodowego, który ma być przekazany sądowi wraz z aktem oskarżenia o</w:t>
      </w:r>
      <w:r w:rsidR="00554DA7" w:rsidRPr="00946B4D">
        <w:t> </w:t>
      </w:r>
      <w:r w:rsidRPr="00946B4D">
        <w:t>określone dokumenty zawarte w aktach sprawy, powinien wskazywać</w:t>
      </w:r>
      <w:r w:rsidR="004B7E04" w:rsidRPr="00946B4D">
        <w:t xml:space="preserve"> </w:t>
      </w:r>
      <w:r w:rsidRPr="00946B4D">
        <w:t>konkretne dowody, znajdujące się w aktach sprawy, które mają być przek</w:t>
      </w:r>
      <w:r w:rsidRPr="00946B4D">
        <w:t>a</w:t>
      </w:r>
      <w:r w:rsidRPr="00946B4D">
        <w:t>zane sądowi, np. protokoły zeznań określonych świadków.</w:t>
      </w:r>
    </w:p>
    <w:p w:rsidR="002F49F8" w:rsidRPr="00946B4D" w:rsidRDefault="002F49F8" w:rsidP="004B7E04">
      <w:pPr>
        <w:pStyle w:val="tekstprokuratury"/>
      </w:pPr>
      <w:r w:rsidRPr="00946B4D">
        <w:t>Termin 3</w:t>
      </w:r>
      <w:r w:rsidR="0034475C" w:rsidRPr="00946B4D">
        <w:t>-</w:t>
      </w:r>
      <w:r w:rsidRPr="00946B4D">
        <w:t>dniowy ma charakter instrukcyjny. W literaturze termin ten okr</w:t>
      </w:r>
      <w:r w:rsidRPr="00946B4D">
        <w:t>e</w:t>
      </w:r>
      <w:r w:rsidRPr="00946B4D">
        <w:t>śla się też mianem porządkowego</w:t>
      </w:r>
      <w:r w:rsidRPr="00946B4D">
        <w:rPr>
          <w:rStyle w:val="Odwoanieprzypisudolnego"/>
          <w:rFonts w:ascii="Arial" w:hAnsi="Arial" w:cs="Arial"/>
          <w:szCs w:val="21"/>
        </w:rPr>
        <w:footnoteReference w:id="47"/>
      </w:r>
      <w:r w:rsidRPr="00946B4D">
        <w:t xml:space="preserve"> lub twierdzi się, że nie jest term</w:t>
      </w:r>
      <w:r w:rsidRPr="00946B4D">
        <w:t>i</w:t>
      </w:r>
      <w:r w:rsidRPr="00946B4D">
        <w:t>nem zawitym</w:t>
      </w:r>
      <w:r w:rsidRPr="00946B4D">
        <w:rPr>
          <w:rStyle w:val="Odwoanieprzypisudolnego"/>
          <w:rFonts w:ascii="Arial" w:hAnsi="Arial" w:cs="Arial"/>
          <w:szCs w:val="21"/>
        </w:rPr>
        <w:footnoteReference w:id="48"/>
      </w:r>
      <w:r w:rsidR="0034475C" w:rsidRPr="00946B4D">
        <w:t>.</w:t>
      </w:r>
      <w:r w:rsidRPr="00946B4D">
        <w:t xml:space="preserve"> Trafnie w doktrynie wskazuje się, że termin ten nie jest wi</w:t>
      </w:r>
      <w:r w:rsidRPr="00946B4D">
        <w:t>ą</w:t>
      </w:r>
      <w:r w:rsidRPr="00946B4D">
        <w:t>żący</w:t>
      </w:r>
      <w:r w:rsidRPr="00946B4D">
        <w:rPr>
          <w:rStyle w:val="Odwoanieprzypisudolnego"/>
          <w:rFonts w:ascii="Arial" w:hAnsi="Arial" w:cs="Arial"/>
          <w:szCs w:val="21"/>
        </w:rPr>
        <w:footnoteReference w:id="49"/>
      </w:r>
      <w:r w:rsidR="0034475C" w:rsidRPr="00946B4D">
        <w:t>.</w:t>
      </w:r>
      <w:r w:rsidRPr="00946B4D">
        <w:t xml:space="preserve"> Złożenie zatem wniosku po tym terminie nie czyni go bezskutec</w:t>
      </w:r>
      <w:r w:rsidRPr="00946B4D">
        <w:t>z</w:t>
      </w:r>
      <w:r w:rsidRPr="00946B4D">
        <w:t>nym. Jeżeli wniosek jest zasadny, to mimo złożenia go nie tylko po tym te</w:t>
      </w:r>
      <w:r w:rsidRPr="00946B4D">
        <w:t>r</w:t>
      </w:r>
      <w:r w:rsidRPr="00946B4D">
        <w:t>minie, ale i po zamknięciu śledztwa lub dochodzenia</w:t>
      </w:r>
      <w:r w:rsidR="0091305D">
        <w:t>,</w:t>
      </w:r>
      <w:r w:rsidRPr="00946B4D">
        <w:t xml:space="preserve"> powinien być uwzglę</w:t>
      </w:r>
      <w:r w:rsidRPr="00946B4D">
        <w:t>d</w:t>
      </w:r>
      <w:r w:rsidRPr="00946B4D">
        <w:t>niony</w:t>
      </w:r>
      <w:r w:rsidRPr="00946B4D">
        <w:rPr>
          <w:rStyle w:val="Odwoanieprzypisudolnego"/>
          <w:rFonts w:ascii="Arial" w:hAnsi="Arial" w:cs="Arial"/>
          <w:szCs w:val="21"/>
        </w:rPr>
        <w:footnoteReference w:id="50"/>
      </w:r>
      <w:r w:rsidR="0034475C" w:rsidRPr="00946B4D">
        <w:t>.</w:t>
      </w:r>
    </w:p>
    <w:p w:rsidR="002F49F8" w:rsidRPr="00946B4D" w:rsidRDefault="002F49F8" w:rsidP="004B7E04">
      <w:pPr>
        <w:pStyle w:val="tekstprokuratury"/>
      </w:pPr>
      <w:r w:rsidRPr="00946B4D">
        <w:t>Ustawa gwarantuje podejrzanemu, że w ciągu 3 dni może składać wni</w:t>
      </w:r>
      <w:r w:rsidRPr="00946B4D">
        <w:t>o</w:t>
      </w:r>
      <w:r w:rsidRPr="00946B4D">
        <w:t>ski o uzupełnienie śledztwa lub dochodzenia, co oznacza możliwość ich zł</w:t>
      </w:r>
      <w:r w:rsidRPr="00946B4D">
        <w:t>o</w:t>
      </w:r>
      <w:r w:rsidRPr="00946B4D">
        <w:lastRenderedPageBreak/>
        <w:t>żenia w tym terminie. Oświadczenie podejrzanego lub pokrzywdzonego, że nie będzie składał wniosków, nie ma znaczenia prawnego i mimo takiego oświadczenia w okresie 3 dni od zapoznania się z materiałami postępowania może skorzystać z tego prawa. Termin ten biegnie</w:t>
      </w:r>
      <w:r w:rsidR="004B7E04" w:rsidRPr="00946B4D">
        <w:t xml:space="preserve"> </w:t>
      </w:r>
      <w:r w:rsidRPr="00946B4D">
        <w:rPr>
          <w:i/>
        </w:rPr>
        <w:t>verba legis</w:t>
      </w:r>
      <w:r w:rsidRPr="00946B4D">
        <w:t xml:space="preserve"> „od dnia z</w:t>
      </w:r>
      <w:r w:rsidRPr="00946B4D">
        <w:t>a</w:t>
      </w:r>
      <w:r w:rsidRPr="00946B4D">
        <w:t>poznania się z materiałami postępowania”</w:t>
      </w:r>
      <w:r w:rsidR="0034475C" w:rsidRPr="00946B4D">
        <w:t>.</w:t>
      </w:r>
      <w:r w:rsidRPr="00946B4D">
        <w:t xml:space="preserve"> Jego początkiem jest data z</w:t>
      </w:r>
      <w:r w:rsidRPr="00946B4D">
        <w:t>a</w:t>
      </w:r>
      <w:r w:rsidRPr="00946B4D">
        <w:t>kończenia zapoznawania się z materiałami postępowania. Z takiego jego okr</w:t>
      </w:r>
      <w:r w:rsidRPr="00946B4D">
        <w:t>e</w:t>
      </w:r>
      <w:r w:rsidRPr="00946B4D">
        <w:t>ślenia w doktrynie wyciągnięto wniosek, że</w:t>
      </w:r>
      <w:r w:rsidR="004B7E04" w:rsidRPr="00946B4D">
        <w:t xml:space="preserve"> </w:t>
      </w:r>
      <w:r w:rsidRPr="00946B4D">
        <w:t>uprawnienie to przysługuje tylko tym podmiotom, które uczestniczą w czynnościach zamknięcia śled</w:t>
      </w:r>
      <w:r w:rsidRPr="00946B4D">
        <w:t>z</w:t>
      </w:r>
      <w:r w:rsidRPr="00946B4D">
        <w:t>twa lub dochodzenia</w:t>
      </w:r>
      <w:r w:rsidRPr="00946B4D">
        <w:rPr>
          <w:rStyle w:val="Odwoanieprzypisudolnego"/>
          <w:rFonts w:ascii="Arial" w:hAnsi="Arial" w:cs="Arial"/>
          <w:szCs w:val="21"/>
        </w:rPr>
        <w:footnoteReference w:id="51"/>
      </w:r>
      <w:r w:rsidR="0034475C" w:rsidRPr="00946B4D">
        <w:t>.</w:t>
      </w:r>
      <w:r w:rsidRPr="00946B4D">
        <w:t xml:space="preserve"> Jest to stanowisko niesłuszne, gdyż prawo takie ma także strona, nieuczestnicząca w tej czynności, skoro może składać wnioski w każdym czasie aż do zamknięcia postępowania. Ponadto</w:t>
      </w:r>
      <w:r w:rsidR="0091305D">
        <w:t>,</w:t>
      </w:r>
      <w:r w:rsidRPr="00946B4D">
        <w:t xml:space="preserve"> trafnie przyjm</w:t>
      </w:r>
      <w:r w:rsidRPr="00946B4D">
        <w:t>u</w:t>
      </w:r>
      <w:r w:rsidRPr="00946B4D">
        <w:t>je się w doktrynie, że strona, która nie złożyła wniosku o umożliwienie</w:t>
      </w:r>
      <w:r w:rsidR="004B7E04" w:rsidRPr="00946B4D">
        <w:t xml:space="preserve"> </w:t>
      </w:r>
      <w:r w:rsidRPr="00946B4D">
        <w:t>zap</w:t>
      </w:r>
      <w:r w:rsidRPr="00946B4D">
        <w:t>o</w:t>
      </w:r>
      <w:r w:rsidRPr="00946B4D">
        <w:t>znanie się z aktami lub nie stawiła się w wyznaczonym terminie bez uspr</w:t>
      </w:r>
      <w:r w:rsidRPr="00946B4D">
        <w:t>a</w:t>
      </w:r>
      <w:r w:rsidRPr="00946B4D">
        <w:t>wiedliwienia, nie jest pozbawiona prawa do składania wniosków dowod</w:t>
      </w:r>
      <w:r w:rsidRPr="00946B4D">
        <w:t>o</w:t>
      </w:r>
      <w:r w:rsidRPr="00946B4D">
        <w:t>wych, gdyż uprawnienie takie wynika z art. 315 § 1 k</w:t>
      </w:r>
      <w:r w:rsidR="0034475C" w:rsidRPr="00946B4D">
        <w:t>.</w:t>
      </w:r>
      <w:r w:rsidRPr="00946B4D">
        <w:t>p.k.</w:t>
      </w:r>
      <w:r w:rsidRPr="00946B4D">
        <w:rPr>
          <w:rStyle w:val="Odwoanieprzypisudolnego"/>
          <w:rFonts w:ascii="Arial" w:hAnsi="Arial" w:cs="Arial"/>
          <w:szCs w:val="21"/>
        </w:rPr>
        <w:footnoteReference w:id="52"/>
      </w:r>
      <w:r w:rsidR="0034475C" w:rsidRPr="00946B4D">
        <w:t>.</w:t>
      </w:r>
    </w:p>
    <w:p w:rsidR="002F49F8" w:rsidRPr="00946B4D" w:rsidRDefault="002F49F8" w:rsidP="004B7E04">
      <w:pPr>
        <w:pStyle w:val="tekstprokuratury"/>
      </w:pPr>
      <w:r w:rsidRPr="00946B4D">
        <w:t>Rozstrzygnięcie wniosku o uzupełnienie śledztwa lub dochodzenia n</w:t>
      </w:r>
      <w:r w:rsidRPr="00946B4D">
        <w:t>a</w:t>
      </w:r>
      <w:r w:rsidRPr="00946B4D">
        <w:t>stępuje na zasadach określonych w art. 170 k.p.k. Zasadnie podkreśla się w</w:t>
      </w:r>
      <w:r w:rsidR="00554DA7" w:rsidRPr="00946B4D">
        <w:t> </w:t>
      </w:r>
      <w:r w:rsidRPr="00946B4D">
        <w:t>piśmiennictwie, że wniosek – ze względu na cel kontrolny tej fazy procesu – powinien być rozpatrzony ze szczególną skrupulatnością i może być odd</w:t>
      </w:r>
      <w:r w:rsidRPr="00946B4D">
        <w:t>a</w:t>
      </w:r>
      <w:r w:rsidRPr="00946B4D">
        <w:t>lony tylko wtedy, gdy w sposób oczywisty zachodzi co najmniej jedna z ok</w:t>
      </w:r>
      <w:r w:rsidRPr="00946B4D">
        <w:t>o</w:t>
      </w:r>
      <w:r w:rsidRPr="00946B4D">
        <w:t>liczności wymienionych w art. 170 § 1 k.p.k.</w:t>
      </w:r>
      <w:r w:rsidRPr="00946B4D">
        <w:rPr>
          <w:rStyle w:val="Odwoanieprzypisudolnego"/>
          <w:rFonts w:ascii="Arial" w:hAnsi="Arial" w:cs="Arial"/>
          <w:szCs w:val="21"/>
        </w:rPr>
        <w:footnoteReference w:id="53"/>
      </w:r>
      <w:r w:rsidR="0034475C" w:rsidRPr="00946B4D">
        <w:t>.</w:t>
      </w:r>
      <w:r w:rsidRPr="00946B4D">
        <w:t xml:space="preserve"> Oddalenie wniosku następuje w formie postanowienia (art. 170 § 3 k.p.k.). Na postanowienie to nie służy zażalenie. Odmienny pogląd nie znajduje uzasadnienia w treści art. 459 k.p.k. ani art. 302 § 2</w:t>
      </w:r>
      <w:r w:rsidR="004B7E04" w:rsidRPr="00946B4D">
        <w:t xml:space="preserve"> </w:t>
      </w:r>
      <w:r w:rsidRPr="00946B4D">
        <w:t>k.p.k.</w:t>
      </w:r>
      <w:r w:rsidRPr="00946B4D">
        <w:rPr>
          <w:rStyle w:val="Odwoanieprzypisudolnego"/>
          <w:rFonts w:ascii="Arial" w:hAnsi="Arial" w:cs="Arial"/>
          <w:szCs w:val="21"/>
        </w:rPr>
        <w:footnoteReference w:id="54"/>
      </w:r>
      <w:r w:rsidR="0034475C" w:rsidRPr="00946B4D">
        <w:t>.</w:t>
      </w:r>
      <w:r w:rsidRPr="00946B4D">
        <w:t xml:space="preserve"> </w:t>
      </w:r>
    </w:p>
    <w:p w:rsidR="002F49F8" w:rsidRPr="00946B4D" w:rsidRDefault="002F49F8" w:rsidP="004B7E04">
      <w:pPr>
        <w:pStyle w:val="tekstprokuratury"/>
      </w:pPr>
      <w:r w:rsidRPr="00946B4D">
        <w:t>Uwzględnienie wniosku powoduje uzupełnienie śledztwa</w:t>
      </w:r>
      <w:r w:rsidR="002C6237" w:rsidRPr="00946B4D">
        <w:t xml:space="preserve"> lub dochodz</w:t>
      </w:r>
      <w:r w:rsidR="002C6237" w:rsidRPr="00946B4D">
        <w:t>e</w:t>
      </w:r>
      <w:r w:rsidR="002C6237" w:rsidRPr="00946B4D">
        <w:t>nia</w:t>
      </w:r>
      <w:r w:rsidRPr="00946B4D">
        <w:t>. Następuje ono przez przeprowadzenie wnioskowanych dowodów, np. przesłuchanie świadków, powołanie biegłych. Wątpliwości może rodzić</w:t>
      </w:r>
      <w:r w:rsidR="004B7E04" w:rsidRPr="00946B4D">
        <w:t xml:space="preserve"> </w:t>
      </w:r>
      <w:r w:rsidRPr="00946B4D">
        <w:t>kw</w:t>
      </w:r>
      <w:r w:rsidRPr="00946B4D">
        <w:t>e</w:t>
      </w:r>
      <w:r w:rsidRPr="00946B4D">
        <w:t>stia, czy</w:t>
      </w:r>
      <w:r w:rsidR="004B7E04" w:rsidRPr="00946B4D">
        <w:t xml:space="preserve"> </w:t>
      </w:r>
      <w:r w:rsidRPr="00946B4D">
        <w:t>strona, która złożyła wniosek</w:t>
      </w:r>
      <w:r w:rsidR="0091305D">
        <w:t>,</w:t>
      </w:r>
      <w:r w:rsidRPr="00946B4D">
        <w:t xml:space="preserve"> oraz jej obrońca lub pełnomocnik m</w:t>
      </w:r>
      <w:r w:rsidRPr="00946B4D">
        <w:t>a</w:t>
      </w:r>
      <w:r w:rsidRPr="00946B4D">
        <w:t>ją prawo wziąć udział w czynności, o której przeprowadzenie wnosiła. Wyn</w:t>
      </w:r>
      <w:r w:rsidRPr="00946B4D">
        <w:t>i</w:t>
      </w:r>
      <w:r w:rsidRPr="00946B4D">
        <w:t>ka ona z tego, że w poprzednim brzmieniu art. 321 §</w:t>
      </w:r>
      <w:r w:rsidR="004B7E04" w:rsidRPr="00946B4D">
        <w:t xml:space="preserve"> </w:t>
      </w:r>
      <w:r w:rsidRPr="00946B4D">
        <w:t>5 k.p.k. wprost odsył</w:t>
      </w:r>
      <w:r w:rsidRPr="00946B4D">
        <w:t>a</w:t>
      </w:r>
      <w:r w:rsidRPr="00946B4D">
        <w:t>no do odpowiedniego stosowania art. 315 § 2 k.p.k., który stanowi, że</w:t>
      </w:r>
      <w:r w:rsidR="004B7E04" w:rsidRPr="00946B4D">
        <w:t xml:space="preserve"> </w:t>
      </w:r>
      <w:r w:rsidRPr="00946B4D">
        <w:t>str</w:t>
      </w:r>
      <w:r w:rsidRPr="00946B4D">
        <w:t>o</w:t>
      </w:r>
      <w:r w:rsidRPr="00946B4D">
        <w:t>nie, która złożyła wniosek</w:t>
      </w:r>
      <w:r w:rsidR="0091305D">
        <w:t>,</w:t>
      </w:r>
      <w:r w:rsidRPr="00946B4D">
        <w:t xml:space="preserve"> oraz jej obrońcy lub pełnomocnikowi nie można odmówić wzięcia udzi</w:t>
      </w:r>
      <w:r w:rsidRPr="00946B4D">
        <w:t>a</w:t>
      </w:r>
      <w:r w:rsidRPr="00946B4D">
        <w:t xml:space="preserve">łu w czynności, jeżeli tego zażądają. Odsyłanie do tego przepisu stanowiło </w:t>
      </w:r>
      <w:r w:rsidRPr="00946B4D">
        <w:rPr>
          <w:i/>
        </w:rPr>
        <w:t>s</w:t>
      </w:r>
      <w:r w:rsidRPr="00946B4D">
        <w:rPr>
          <w:i/>
        </w:rPr>
        <w:t>u</w:t>
      </w:r>
      <w:r w:rsidRPr="00946B4D">
        <w:rPr>
          <w:i/>
        </w:rPr>
        <w:t>perfluum</w:t>
      </w:r>
      <w:r w:rsidRPr="00946B4D">
        <w:t>, gdyż przepis ten ma zastosowanie do każdej czynności podejmowanej na ich wniosek, niezależnie od etapu p</w:t>
      </w:r>
      <w:r w:rsidRPr="00946B4D">
        <w:t>o</w:t>
      </w:r>
      <w:r w:rsidRPr="00946B4D">
        <w:lastRenderedPageBreak/>
        <w:t>stępowania przygotowawczego, w</w:t>
      </w:r>
      <w:r w:rsidR="004B7E04" w:rsidRPr="00946B4D">
        <w:t xml:space="preserve"> </w:t>
      </w:r>
      <w:r w:rsidRPr="00946B4D">
        <w:t>którym został złożony wniosek. Podejrz</w:t>
      </w:r>
      <w:r w:rsidRPr="00946B4D">
        <w:t>a</w:t>
      </w:r>
      <w:r w:rsidRPr="00946B4D">
        <w:t>nego pozbawionego wolności nie sprowadza się, gdy spowodowałoby to poważne trudności (art. 315 § 1 w</w:t>
      </w:r>
      <w:r w:rsidR="00554DA7" w:rsidRPr="00946B4D">
        <w:t> </w:t>
      </w:r>
      <w:r w:rsidRPr="00946B4D">
        <w:t xml:space="preserve">zw. z art. 318 zd. II k.p.k.). </w:t>
      </w:r>
    </w:p>
    <w:p w:rsidR="002F49F8" w:rsidRPr="00946B4D" w:rsidRDefault="002F49F8" w:rsidP="004B7E04">
      <w:pPr>
        <w:pStyle w:val="tekstprokuratury"/>
      </w:pPr>
      <w:r w:rsidRPr="00946B4D">
        <w:t>Po uzupełnieniu śledztwa lub dochodzenia jest konieczne, na wniosek podejrzanego i jego obrońcy lub pokrzywdzonego i jego pełnomocnika, z</w:t>
      </w:r>
      <w:r w:rsidRPr="00946B4D">
        <w:t>a</w:t>
      </w:r>
      <w:r w:rsidRPr="00946B4D">
        <w:t>poznanie się przez nich z uzupełnionymi</w:t>
      </w:r>
      <w:r w:rsidR="004B7E04" w:rsidRPr="00946B4D">
        <w:t xml:space="preserve"> </w:t>
      </w:r>
      <w:r w:rsidRPr="00946B4D">
        <w:t>materiałami, chyba że zachodzą przesłanki do umorzenia postępowania.</w:t>
      </w:r>
      <w:r w:rsidR="0091305D">
        <w:t xml:space="preserve"> </w:t>
      </w:r>
      <w:r w:rsidRPr="00946B4D">
        <w:t>Jeżeli postępowanie toczy się prz</w:t>
      </w:r>
      <w:r w:rsidRPr="00946B4D">
        <w:t>e</w:t>
      </w:r>
      <w:r w:rsidRPr="00946B4D">
        <w:t>ciwko kliku podejrzanym, a uzupełni</w:t>
      </w:r>
      <w:r w:rsidRPr="00946B4D">
        <w:t>o</w:t>
      </w:r>
      <w:r w:rsidRPr="00946B4D">
        <w:t>no je na wniosek lub z urzędu tylko do niektórych z nich, organ procesowy udostępnia dodatkowe materiały do z</w:t>
      </w:r>
      <w:r w:rsidRPr="00946B4D">
        <w:t>a</w:t>
      </w:r>
      <w:r w:rsidRPr="00946B4D">
        <w:t>poznania się tylko tym, których dot</w:t>
      </w:r>
      <w:r w:rsidRPr="00946B4D">
        <w:t>y</w:t>
      </w:r>
      <w:r w:rsidRPr="00946B4D">
        <w:t>czy uzupełnienie</w:t>
      </w:r>
      <w:r w:rsidRPr="00946B4D">
        <w:rPr>
          <w:rStyle w:val="Odwoanieprzypisudolnego"/>
          <w:rFonts w:ascii="Arial" w:hAnsi="Arial" w:cs="Arial"/>
          <w:szCs w:val="21"/>
        </w:rPr>
        <w:footnoteReference w:id="55"/>
      </w:r>
      <w:r w:rsidR="0034475C" w:rsidRPr="00946B4D">
        <w:t>.</w:t>
      </w:r>
    </w:p>
    <w:p w:rsidR="002F49F8" w:rsidRPr="00946B4D" w:rsidRDefault="002F49F8" w:rsidP="004B7E04">
      <w:pPr>
        <w:pStyle w:val="tekstprokuratury"/>
      </w:pPr>
      <w:r w:rsidRPr="00946B4D">
        <w:t>W wypadku, gdy organ procesowy z urzędu uzupełnił śledztwo lub d</w:t>
      </w:r>
      <w:r w:rsidRPr="00946B4D">
        <w:t>o</w:t>
      </w:r>
      <w:r w:rsidRPr="00946B4D">
        <w:t>chodzenie</w:t>
      </w:r>
      <w:r w:rsidR="0091305D">
        <w:t>,</w:t>
      </w:r>
      <w:r w:rsidRPr="00946B4D">
        <w:t xml:space="preserve"> powinien poinformować o tym podejrzanego i pokrzywdzonego z</w:t>
      </w:r>
      <w:r w:rsidR="00554DA7" w:rsidRPr="00946B4D">
        <w:t> </w:t>
      </w:r>
      <w:r w:rsidRPr="00946B4D">
        <w:t>pouczeniem, że mogą wnosić o umożliwienie im zapoznania się z tym m</w:t>
      </w:r>
      <w:r w:rsidRPr="00946B4D">
        <w:t>a</w:t>
      </w:r>
      <w:r w:rsidRPr="00946B4D">
        <w:t xml:space="preserve">teriałami. </w:t>
      </w:r>
    </w:p>
    <w:p w:rsidR="002F49F8" w:rsidRPr="00946B4D" w:rsidRDefault="002F49F8" w:rsidP="0034475C">
      <w:pPr>
        <w:pStyle w:val="podtytulprokuratury"/>
      </w:pPr>
      <w:r w:rsidRPr="00946B4D">
        <w:t>IV. Skutki procesowe niezapoznania z materiałami postęp</w:t>
      </w:r>
      <w:r w:rsidRPr="00946B4D">
        <w:t>o</w:t>
      </w:r>
      <w:r w:rsidRPr="00946B4D">
        <w:t xml:space="preserve">wania </w:t>
      </w:r>
    </w:p>
    <w:p w:rsidR="002F49F8" w:rsidRPr="00946B4D" w:rsidRDefault="002F49F8" w:rsidP="004B7E04">
      <w:pPr>
        <w:pStyle w:val="tekstprokuratury"/>
      </w:pPr>
      <w:r w:rsidRPr="00946B4D">
        <w:t>Niezaznajomienie z materiałami postępowania podejrzanego lub p</w:t>
      </w:r>
      <w:r w:rsidRPr="00946B4D">
        <w:t>o</w:t>
      </w:r>
      <w:r w:rsidRPr="00946B4D">
        <w:t>krzywdzonego, mimo że złożył taki wniosek</w:t>
      </w:r>
      <w:r w:rsidR="0091305D">
        <w:t>,</w:t>
      </w:r>
      <w:r w:rsidRPr="00946B4D">
        <w:t xml:space="preserve"> stanowi obrazę art. 321 § 1 k.p.k. Naruszenie tego przepisu zachodzi także wówczas, gdy nie zostały spełnione inne postanowienia tego przepisu, np. niepowiadomienie o term</w:t>
      </w:r>
      <w:r w:rsidRPr="00946B4D">
        <w:t>i</w:t>
      </w:r>
      <w:r w:rsidRPr="00946B4D">
        <w:t xml:space="preserve">nie zapoznania obrońcy, czy pełnomocnika. Słusznie Sąd Najwyższy przyjął, że stanowi obrazę art. 321 </w:t>
      </w:r>
      <w:r w:rsidR="00FD03C3" w:rsidRPr="00946B4D">
        <w:t>k.p.k.</w:t>
      </w:r>
      <w:r w:rsidRPr="00946B4D">
        <w:t xml:space="preserve"> zapoznanie podejrzanych w sposób fo</w:t>
      </w:r>
      <w:r w:rsidRPr="00946B4D">
        <w:t>r</w:t>
      </w:r>
      <w:r w:rsidRPr="00946B4D">
        <w:t>malny z zebranymi materiałami, polegające na zapoznaniu w jednym dniu kilku osób z wieloma tomami akt</w:t>
      </w:r>
      <w:r w:rsidRPr="00946B4D">
        <w:rPr>
          <w:rStyle w:val="Odwoanieprzypisudolnego"/>
          <w:rFonts w:ascii="Arial" w:hAnsi="Arial" w:cs="Arial"/>
          <w:szCs w:val="21"/>
        </w:rPr>
        <w:footnoteReference w:id="56"/>
      </w:r>
      <w:r w:rsidR="0034475C" w:rsidRPr="00946B4D">
        <w:t>.</w:t>
      </w:r>
    </w:p>
    <w:p w:rsidR="002F49F8" w:rsidRPr="00946B4D" w:rsidRDefault="002F49F8" w:rsidP="004B7E04">
      <w:pPr>
        <w:pStyle w:val="tekstprokuratury"/>
      </w:pPr>
      <w:r w:rsidRPr="00946B4D">
        <w:t xml:space="preserve">Uchybienia te </w:t>
      </w:r>
      <w:r w:rsidR="0091305D">
        <w:t xml:space="preserve">– </w:t>
      </w:r>
      <w:r w:rsidR="002C6237" w:rsidRPr="00946B4D">
        <w:t xml:space="preserve">jak już podkreślano </w:t>
      </w:r>
      <w:r w:rsidR="00946B4D" w:rsidRPr="00946B4D">
        <w:t>–</w:t>
      </w:r>
      <w:r w:rsidR="002C6237" w:rsidRPr="00946B4D">
        <w:t xml:space="preserve"> </w:t>
      </w:r>
      <w:r w:rsidRPr="00946B4D">
        <w:t>mogą stanowić względną przycz</w:t>
      </w:r>
      <w:r w:rsidRPr="00946B4D">
        <w:t>y</w:t>
      </w:r>
      <w:r w:rsidRPr="00946B4D">
        <w:t>nę odwoławczą, skutk</w:t>
      </w:r>
      <w:r w:rsidRPr="00946B4D">
        <w:t>u</w:t>
      </w:r>
      <w:r w:rsidRPr="00946B4D">
        <w:t>jącą uchyleniem orzeczenia, jeżeli uchybienie mogło mieć wpływ na jego treść (art. 438 pkt 2 k.p.k.). Z reguły naruszenie tego przepisu jest konwal</w:t>
      </w:r>
      <w:r w:rsidRPr="00946B4D">
        <w:t>i</w:t>
      </w:r>
      <w:r w:rsidRPr="00946B4D">
        <w:t>dowane w</w:t>
      </w:r>
      <w:r w:rsidR="004B7E04" w:rsidRPr="00946B4D">
        <w:t xml:space="preserve"> </w:t>
      </w:r>
      <w:r w:rsidRPr="00946B4D">
        <w:t>postępowaniu jurysdykcyjnym, gdyż</w:t>
      </w:r>
      <w:r w:rsidR="004B7E04" w:rsidRPr="00946B4D">
        <w:t xml:space="preserve"> </w:t>
      </w:r>
      <w:r w:rsidRPr="00946B4D">
        <w:t>osoby wymienione</w:t>
      </w:r>
      <w:r w:rsidR="004B7E04" w:rsidRPr="00946B4D">
        <w:t xml:space="preserve"> </w:t>
      </w:r>
      <w:r w:rsidRPr="00946B4D">
        <w:t>w art. 321 § 1 k.p.k. z reguły zapoznają się z całymi aktami w</w:t>
      </w:r>
      <w:r w:rsidR="0005112E">
        <w:t> </w:t>
      </w:r>
      <w:r w:rsidRPr="00946B4D">
        <w:t>toku przygot</w:t>
      </w:r>
      <w:r w:rsidRPr="00946B4D">
        <w:t>o</w:t>
      </w:r>
      <w:r w:rsidRPr="00946B4D">
        <w:t>wywania się do rozprawy głównej, chociaż – ze względu na nowy, bardziej kontradykt</w:t>
      </w:r>
      <w:r w:rsidRPr="00946B4D">
        <w:t>o</w:t>
      </w:r>
      <w:r w:rsidRPr="00946B4D">
        <w:t xml:space="preserve">ryjny model rozprawy – może nie dojść do tego skutku. </w:t>
      </w:r>
    </w:p>
    <w:p w:rsidR="002F49F8" w:rsidRDefault="002F49F8" w:rsidP="004B7E04">
      <w:pPr>
        <w:pStyle w:val="tekstprokuratury"/>
      </w:pPr>
    </w:p>
    <w:p w:rsidR="0091305D" w:rsidRDefault="0091305D" w:rsidP="004B7E04">
      <w:pPr>
        <w:pStyle w:val="tekstprokuratury"/>
      </w:pPr>
    </w:p>
    <w:p w:rsidR="0091305D" w:rsidRPr="00946B4D" w:rsidRDefault="0091305D" w:rsidP="004B7E04">
      <w:pPr>
        <w:pStyle w:val="tekstprokuratury"/>
      </w:pPr>
    </w:p>
    <w:p w:rsidR="0034475C" w:rsidRPr="00946B4D" w:rsidRDefault="0034475C" w:rsidP="004B7E04">
      <w:pPr>
        <w:pStyle w:val="tekstprokuratury"/>
      </w:pPr>
    </w:p>
    <w:p w:rsidR="002F49F8" w:rsidRPr="00946B4D" w:rsidRDefault="002F49F8" w:rsidP="0034475C">
      <w:pPr>
        <w:pStyle w:val="tytulangielski"/>
        <w:rPr>
          <w:lang w:val="en-US"/>
        </w:rPr>
      </w:pPr>
      <w:r w:rsidRPr="00946B4D">
        <w:rPr>
          <w:lang w:val="en-US"/>
        </w:rPr>
        <w:lastRenderedPageBreak/>
        <w:t>Final review of materials gathered through pr</w:t>
      </w:r>
      <w:r w:rsidRPr="00946B4D">
        <w:rPr>
          <w:lang w:val="en-US"/>
        </w:rPr>
        <w:t>e</w:t>
      </w:r>
      <w:r w:rsidRPr="00946B4D">
        <w:rPr>
          <w:lang w:val="en-US"/>
        </w:rPr>
        <w:t>paratory proceedings, in light of the Amen</w:t>
      </w:r>
      <w:r w:rsidRPr="00946B4D">
        <w:rPr>
          <w:lang w:val="en-US"/>
        </w:rPr>
        <w:t>d</w:t>
      </w:r>
      <w:r w:rsidRPr="00946B4D">
        <w:rPr>
          <w:lang w:val="en-US"/>
        </w:rPr>
        <w:t>ment of 27 September 2013</w:t>
      </w:r>
    </w:p>
    <w:p w:rsidR="002F49F8" w:rsidRPr="00946B4D" w:rsidRDefault="002F49F8" w:rsidP="0034475C">
      <w:pPr>
        <w:pStyle w:val="podtytulprokuratury"/>
        <w:rPr>
          <w:lang w:val="en-US"/>
        </w:rPr>
      </w:pPr>
      <w:r w:rsidRPr="00946B4D">
        <w:rPr>
          <w:lang w:val="en-US"/>
        </w:rPr>
        <w:t>Abstract</w:t>
      </w:r>
    </w:p>
    <w:p w:rsidR="002F49F8" w:rsidRPr="00946B4D" w:rsidRDefault="002F49F8" w:rsidP="004B7E04">
      <w:pPr>
        <w:pStyle w:val="tekstprokuratury"/>
        <w:rPr>
          <w:i/>
          <w:iCs/>
          <w:lang w:val="en-US"/>
        </w:rPr>
      </w:pPr>
      <w:r w:rsidRPr="00946B4D">
        <w:rPr>
          <w:i/>
          <w:iCs/>
          <w:lang w:val="en-US"/>
        </w:rPr>
        <w:t>This paper addresses changes which have been introduced by the Act of 27 September 2013, affect a final review of materials gathered through pr</w:t>
      </w:r>
      <w:r w:rsidRPr="00946B4D">
        <w:rPr>
          <w:i/>
          <w:iCs/>
          <w:lang w:val="en-US"/>
        </w:rPr>
        <w:t>e</w:t>
      </w:r>
      <w:r w:rsidRPr="00946B4D">
        <w:rPr>
          <w:i/>
          <w:iCs/>
          <w:lang w:val="en-US"/>
        </w:rPr>
        <w:t>paratory proceedings, i.e. the right of a victim and their legal representative to access materials of proceedings for their final review, and modify the rules for such access. While doubts arising out of the new regulation are presen</w:t>
      </w:r>
      <w:r w:rsidRPr="00946B4D">
        <w:rPr>
          <w:i/>
          <w:iCs/>
          <w:lang w:val="en-US"/>
        </w:rPr>
        <w:t>t</w:t>
      </w:r>
      <w:r w:rsidRPr="00946B4D">
        <w:rPr>
          <w:i/>
          <w:iCs/>
          <w:lang w:val="en-US"/>
        </w:rPr>
        <w:t>ed, relevant solutions are provided. Discussed are the following: request for a final review of materials gathered through preparatory proceedings; r</w:t>
      </w:r>
      <w:r w:rsidRPr="00946B4D">
        <w:rPr>
          <w:i/>
          <w:iCs/>
          <w:lang w:val="en-US"/>
        </w:rPr>
        <w:t>e</w:t>
      </w:r>
      <w:r w:rsidRPr="00946B4D">
        <w:rPr>
          <w:i/>
          <w:iCs/>
          <w:lang w:val="en-US"/>
        </w:rPr>
        <w:t>view activities, i.e. setting a date for a review, notifying a possibility to a</w:t>
      </w:r>
      <w:r w:rsidRPr="00946B4D">
        <w:rPr>
          <w:i/>
          <w:iCs/>
          <w:lang w:val="en-US"/>
        </w:rPr>
        <w:t>c</w:t>
      </w:r>
      <w:r w:rsidRPr="00946B4D">
        <w:rPr>
          <w:i/>
          <w:iCs/>
          <w:lang w:val="en-US"/>
        </w:rPr>
        <w:t>cess, and a date of review; participation of a suspected individual and a vi</w:t>
      </w:r>
      <w:r w:rsidRPr="00946B4D">
        <w:rPr>
          <w:i/>
          <w:iCs/>
          <w:lang w:val="en-US"/>
        </w:rPr>
        <w:t>c</w:t>
      </w:r>
      <w:r w:rsidRPr="00946B4D">
        <w:rPr>
          <w:i/>
          <w:iCs/>
          <w:lang w:val="en-US"/>
        </w:rPr>
        <w:t>tim in the review; review method; review time; notification of materials pr</w:t>
      </w:r>
      <w:r w:rsidRPr="00946B4D">
        <w:rPr>
          <w:i/>
          <w:iCs/>
          <w:lang w:val="en-US"/>
        </w:rPr>
        <w:t>o</w:t>
      </w:r>
      <w:r w:rsidRPr="00946B4D">
        <w:rPr>
          <w:i/>
          <w:iCs/>
          <w:lang w:val="en-US"/>
        </w:rPr>
        <w:t>vided to a court along with an indictment; review documentation; requests to complete materials gathered through proceedings; and procedural cons</w:t>
      </w:r>
      <w:r w:rsidRPr="00946B4D">
        <w:rPr>
          <w:i/>
          <w:iCs/>
          <w:lang w:val="en-US"/>
        </w:rPr>
        <w:t>e</w:t>
      </w:r>
      <w:r w:rsidRPr="00946B4D">
        <w:rPr>
          <w:i/>
          <w:iCs/>
          <w:lang w:val="en-US"/>
        </w:rPr>
        <w:t>quences of failure to review.</w:t>
      </w:r>
    </w:p>
    <w:sectPr w:rsidR="002F49F8" w:rsidRPr="00946B4D" w:rsidSect="00311917">
      <w:headerReference w:type="even" r:id="rId8"/>
      <w:headerReference w:type="default" r:id="rId9"/>
      <w:footerReference w:type="even" r:id="rId10"/>
      <w:footerReference w:type="default" r:id="rId11"/>
      <w:pgSz w:w="11905" w:h="16837"/>
      <w:pgMar w:top="2835" w:right="2381" w:bottom="3686" w:left="2381" w:header="1985" w:footer="2835" w:gutter="0"/>
      <w:pgNumType w:start="9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8B" w:rsidRDefault="0038338B">
      <w:r>
        <w:separator/>
      </w:r>
    </w:p>
  </w:endnote>
  <w:endnote w:type="continuationSeparator" w:id="0">
    <w:p w:rsidR="0038338B" w:rsidRDefault="00383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22" w:rsidRPr="000A701E" w:rsidRDefault="005E3422" w:rsidP="001A743E">
    <w:pPr>
      <w:pStyle w:val="Stopka"/>
      <w:framePr w:wrap="around" w:vAnchor="text" w:hAnchor="margin" w:xAlign="outside" w:y="1"/>
      <w:rPr>
        <w:rStyle w:val="Numerstrony"/>
        <w:rFonts w:ascii="Arial" w:hAnsi="Arial" w:cs="Arial"/>
        <w:sz w:val="18"/>
        <w:szCs w:val="18"/>
      </w:rPr>
    </w:pPr>
  </w:p>
  <w:p w:rsidR="005E3422" w:rsidRPr="000A701E" w:rsidRDefault="005E3422" w:rsidP="001A743E">
    <w:pPr>
      <w:pStyle w:val="Stopka"/>
      <w:framePr w:wrap="around" w:vAnchor="text" w:hAnchor="margin" w:xAlign="outside" w:y="1"/>
      <w:rPr>
        <w:rStyle w:val="Numerstrony"/>
        <w:rFonts w:ascii="Arial" w:hAnsi="Arial" w:cs="Arial"/>
        <w:sz w:val="18"/>
        <w:szCs w:val="18"/>
      </w:rPr>
    </w:pPr>
    <w:r w:rsidRPr="000A701E">
      <w:rPr>
        <w:rStyle w:val="Numerstrony"/>
        <w:rFonts w:ascii="Arial" w:hAnsi="Arial" w:cs="Arial"/>
        <w:sz w:val="18"/>
        <w:szCs w:val="18"/>
      </w:rPr>
      <w:fldChar w:fldCharType="begin"/>
    </w:r>
    <w:r w:rsidRPr="000A701E">
      <w:rPr>
        <w:rStyle w:val="Numerstrony"/>
        <w:rFonts w:ascii="Arial" w:hAnsi="Arial" w:cs="Arial"/>
        <w:sz w:val="18"/>
        <w:szCs w:val="18"/>
      </w:rPr>
      <w:instrText xml:space="preserve">PAGE  </w:instrText>
    </w:r>
    <w:r w:rsidRPr="000A701E">
      <w:rPr>
        <w:rStyle w:val="Numerstrony"/>
        <w:rFonts w:ascii="Arial" w:hAnsi="Arial" w:cs="Arial"/>
        <w:sz w:val="18"/>
        <w:szCs w:val="18"/>
      </w:rPr>
      <w:fldChar w:fldCharType="separate"/>
    </w:r>
    <w:r w:rsidR="00FA6776">
      <w:rPr>
        <w:rStyle w:val="Numerstrony"/>
        <w:rFonts w:ascii="Arial" w:hAnsi="Arial" w:cs="Arial"/>
        <w:noProof/>
        <w:sz w:val="18"/>
        <w:szCs w:val="18"/>
      </w:rPr>
      <w:t>110</w:t>
    </w:r>
    <w:r w:rsidRPr="000A701E">
      <w:rPr>
        <w:rStyle w:val="Numerstrony"/>
        <w:rFonts w:ascii="Arial" w:hAnsi="Arial" w:cs="Arial"/>
        <w:sz w:val="18"/>
        <w:szCs w:val="18"/>
      </w:rPr>
      <w:fldChar w:fldCharType="end"/>
    </w:r>
  </w:p>
  <w:p w:rsidR="005E3422" w:rsidRDefault="005E3422" w:rsidP="000A701E">
    <w:pPr>
      <w:pStyle w:val="Stopka"/>
      <w:tabs>
        <w:tab w:val="left" w:pos="7088"/>
      </w:tabs>
      <w:ind w:firstLine="357"/>
      <w:jc w:val="right"/>
      <w:rPr>
        <w:rFonts w:ascii="Helvetica" w:hAnsi="Helvetica"/>
        <w:i/>
        <w:sz w:val="16"/>
      </w:rPr>
    </w:pPr>
    <w:r>
      <w:rPr>
        <w:rFonts w:ascii="Helvetica" w:hAnsi="Helvetica"/>
        <w:i/>
        <w:sz w:val="16"/>
      </w:rPr>
      <w:t xml:space="preserve">Prokuratura </w:t>
    </w:r>
  </w:p>
  <w:p w:rsidR="005E3422" w:rsidRDefault="005E3422">
    <w:pPr>
      <w:pStyle w:val="Stopka"/>
      <w:ind w:right="-1"/>
      <w:jc w:val="right"/>
      <w:rPr>
        <w:rFonts w:ascii="Helvetica" w:hAnsi="Helvetica"/>
        <w:i/>
        <w:sz w:val="16"/>
      </w:rPr>
    </w:pPr>
    <w:r>
      <w:rPr>
        <w:rFonts w:ascii="Helvetica" w:hAnsi="Helvetica"/>
        <w:i/>
        <w:sz w:val="16"/>
      </w:rPr>
      <w:t xml:space="preserve">i Prawo 1–2, 2015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22" w:rsidRDefault="005E3422" w:rsidP="001A743E">
    <w:pPr>
      <w:pStyle w:val="Stopka"/>
      <w:framePr w:wrap="around" w:vAnchor="text" w:hAnchor="margin" w:xAlign="outside" w:y="1"/>
      <w:rPr>
        <w:rStyle w:val="Numerstrony"/>
        <w:rFonts w:ascii="Arial" w:hAnsi="Arial" w:cs="Arial"/>
        <w:sz w:val="18"/>
        <w:szCs w:val="18"/>
      </w:rPr>
    </w:pPr>
  </w:p>
  <w:p w:rsidR="005E3422" w:rsidRPr="000A701E" w:rsidRDefault="005E3422" w:rsidP="000A701E">
    <w:pPr>
      <w:pStyle w:val="Stopka"/>
      <w:framePr w:wrap="around" w:vAnchor="text" w:hAnchor="margin" w:xAlign="outside" w:y="1"/>
      <w:jc w:val="right"/>
      <w:rPr>
        <w:rStyle w:val="Numerstrony"/>
        <w:rFonts w:ascii="Arial" w:hAnsi="Arial" w:cs="Arial"/>
        <w:sz w:val="18"/>
        <w:szCs w:val="18"/>
      </w:rPr>
    </w:pPr>
    <w:r w:rsidRPr="000A701E">
      <w:rPr>
        <w:rStyle w:val="Numerstrony"/>
        <w:rFonts w:ascii="Arial" w:hAnsi="Arial" w:cs="Arial"/>
        <w:sz w:val="18"/>
        <w:szCs w:val="18"/>
      </w:rPr>
      <w:fldChar w:fldCharType="begin"/>
    </w:r>
    <w:r w:rsidRPr="000A701E">
      <w:rPr>
        <w:rStyle w:val="Numerstrony"/>
        <w:rFonts w:ascii="Arial" w:hAnsi="Arial" w:cs="Arial"/>
        <w:sz w:val="18"/>
        <w:szCs w:val="18"/>
      </w:rPr>
      <w:instrText xml:space="preserve">PAGE  </w:instrText>
    </w:r>
    <w:r w:rsidRPr="000A701E">
      <w:rPr>
        <w:rStyle w:val="Numerstrony"/>
        <w:rFonts w:ascii="Arial" w:hAnsi="Arial" w:cs="Arial"/>
        <w:sz w:val="18"/>
        <w:szCs w:val="18"/>
      </w:rPr>
      <w:fldChar w:fldCharType="separate"/>
    </w:r>
    <w:r w:rsidR="00FA6776">
      <w:rPr>
        <w:rStyle w:val="Numerstrony"/>
        <w:rFonts w:ascii="Arial" w:hAnsi="Arial" w:cs="Arial"/>
        <w:noProof/>
        <w:sz w:val="18"/>
        <w:szCs w:val="18"/>
      </w:rPr>
      <w:t>111</w:t>
    </w:r>
    <w:r w:rsidRPr="000A701E">
      <w:rPr>
        <w:rStyle w:val="Numerstrony"/>
        <w:rFonts w:ascii="Arial" w:hAnsi="Arial" w:cs="Arial"/>
        <w:sz w:val="18"/>
        <w:szCs w:val="18"/>
      </w:rPr>
      <w:fldChar w:fldCharType="end"/>
    </w:r>
  </w:p>
  <w:p w:rsidR="005E3422" w:rsidRDefault="005E3422" w:rsidP="000A701E">
    <w:pPr>
      <w:pStyle w:val="Stopka"/>
      <w:ind w:right="360"/>
      <w:rPr>
        <w:rFonts w:ascii="Helvetica" w:hAnsi="Helvetica"/>
        <w:i/>
        <w:sz w:val="16"/>
      </w:rPr>
    </w:pPr>
    <w:r>
      <w:rPr>
        <w:rFonts w:ascii="Helvetica" w:hAnsi="Helvetica"/>
        <w:i/>
        <w:sz w:val="16"/>
      </w:rPr>
      <w:t>Prokuratura</w:t>
    </w:r>
  </w:p>
  <w:p w:rsidR="005E3422" w:rsidRDefault="005E3422">
    <w:pPr>
      <w:pStyle w:val="Stopka"/>
      <w:ind w:right="360"/>
      <w:rPr>
        <w:rFonts w:ascii="Helvetica" w:hAnsi="Helvetica"/>
        <w:i/>
        <w:sz w:val="16"/>
      </w:rPr>
    </w:pPr>
    <w:r>
      <w:rPr>
        <w:rFonts w:ascii="Helvetica" w:hAnsi="Helvetica"/>
        <w:i/>
        <w:sz w:val="16"/>
      </w:rPr>
      <w:t>i Prawo 1–2,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8B" w:rsidRDefault="0038338B">
      <w:r>
        <w:separator/>
      </w:r>
    </w:p>
  </w:footnote>
  <w:footnote w:type="continuationSeparator" w:id="0">
    <w:p w:rsidR="0038338B" w:rsidRDefault="0038338B">
      <w:r>
        <w:continuationSeparator/>
      </w:r>
    </w:p>
  </w:footnote>
  <w:footnote w:id="1">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Dz. U. z 2013</w:t>
      </w:r>
      <w:r>
        <w:rPr>
          <w:rFonts w:ascii="Arial" w:hAnsi="Arial" w:cs="Arial"/>
        </w:rPr>
        <w:t xml:space="preserve"> r.</w:t>
      </w:r>
      <w:r w:rsidRPr="004B7E04">
        <w:rPr>
          <w:rFonts w:ascii="Arial" w:hAnsi="Arial" w:cs="Arial"/>
        </w:rPr>
        <w:t>, poz. 1247</w:t>
      </w:r>
      <w:r>
        <w:rPr>
          <w:rFonts w:ascii="Arial" w:hAnsi="Arial" w:cs="Arial"/>
        </w:rPr>
        <w:t xml:space="preserve">; </w:t>
      </w:r>
      <w:r w:rsidRPr="004B7E04">
        <w:rPr>
          <w:rFonts w:ascii="Arial" w:hAnsi="Arial" w:cs="Arial"/>
        </w:rPr>
        <w:t>cyt. dalej jako nowela.</w:t>
      </w:r>
      <w:r>
        <w:rPr>
          <w:rFonts w:ascii="Arial" w:hAnsi="Arial" w:cs="Arial"/>
        </w:rPr>
        <w:t xml:space="preserve"> </w:t>
      </w:r>
    </w:p>
  </w:footnote>
  <w:footnote w:id="2">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Przebieg</w:t>
      </w:r>
      <w:r>
        <w:rPr>
          <w:rFonts w:ascii="Arial" w:hAnsi="Arial" w:cs="Arial"/>
        </w:rPr>
        <w:t xml:space="preserve"> </w:t>
      </w:r>
      <w:r w:rsidRPr="004B7E04">
        <w:rPr>
          <w:rFonts w:ascii="Arial" w:hAnsi="Arial" w:cs="Arial"/>
        </w:rPr>
        <w:t>postępowania przygotowawczego</w:t>
      </w:r>
      <w:r>
        <w:rPr>
          <w:rFonts w:ascii="Arial" w:hAnsi="Arial" w:cs="Arial"/>
        </w:rPr>
        <w:t xml:space="preserve">, (w:) </w:t>
      </w:r>
      <w:r w:rsidRPr="004B7E04">
        <w:rPr>
          <w:rFonts w:ascii="Arial" w:hAnsi="Arial" w:cs="Arial"/>
        </w:rPr>
        <w:t>Nowa kodyfikacja ka</w:t>
      </w:r>
      <w:r w:rsidRPr="004B7E04">
        <w:rPr>
          <w:rFonts w:ascii="Arial" w:hAnsi="Arial" w:cs="Arial"/>
        </w:rPr>
        <w:t>r</w:t>
      </w:r>
      <w:r w:rsidRPr="004B7E04">
        <w:rPr>
          <w:rFonts w:ascii="Arial" w:hAnsi="Arial" w:cs="Arial"/>
        </w:rPr>
        <w:t>na. Kodeks postępowania karnego. Krótkie komentarze</w:t>
      </w:r>
      <w:r>
        <w:rPr>
          <w:rFonts w:ascii="Arial" w:hAnsi="Arial" w:cs="Arial"/>
        </w:rPr>
        <w:t xml:space="preserve">, nr </w:t>
      </w:r>
      <w:r w:rsidRPr="004B7E04">
        <w:rPr>
          <w:rFonts w:ascii="Arial" w:hAnsi="Arial" w:cs="Arial"/>
        </w:rPr>
        <w:t>5, Warszawa 1998,</w:t>
      </w:r>
      <w:r>
        <w:rPr>
          <w:rFonts w:ascii="Arial" w:hAnsi="Arial" w:cs="Arial"/>
        </w:rPr>
        <w:t xml:space="preserve"> </w:t>
      </w:r>
      <w:r w:rsidRPr="004B7E04">
        <w:rPr>
          <w:rFonts w:ascii="Arial" w:hAnsi="Arial" w:cs="Arial"/>
        </w:rPr>
        <w:t>s. 127</w:t>
      </w:r>
      <w:r>
        <w:rPr>
          <w:rFonts w:ascii="Arial" w:hAnsi="Arial" w:cs="Arial"/>
        </w:rPr>
        <w:t xml:space="preserve">; </w:t>
      </w:r>
      <w:r w:rsidRPr="004B7E04">
        <w:rPr>
          <w:rFonts w:ascii="Arial" w:hAnsi="Arial" w:cs="Arial"/>
        </w:rPr>
        <w:t>S.</w:t>
      </w:r>
      <w:r>
        <w:rPr>
          <w:rFonts w:ascii="Arial" w:hAnsi="Arial" w:cs="Arial"/>
        </w:rPr>
        <w:t> </w:t>
      </w:r>
      <w:r w:rsidRPr="00AA773D">
        <w:rPr>
          <w:rFonts w:ascii="Arial" w:hAnsi="Arial" w:cs="Arial"/>
          <w:spacing w:val="32"/>
        </w:rPr>
        <w:t>Walto</w:t>
      </w:r>
      <w:r w:rsidRPr="004B7E04">
        <w:rPr>
          <w:rFonts w:ascii="Arial" w:hAnsi="Arial" w:cs="Arial"/>
        </w:rPr>
        <w:t xml:space="preserve">ś, P. </w:t>
      </w:r>
      <w:r w:rsidRPr="00AA773D">
        <w:rPr>
          <w:rFonts w:ascii="Arial" w:hAnsi="Arial" w:cs="Arial"/>
          <w:spacing w:val="32"/>
        </w:rPr>
        <w:t>Hofmańsk</w:t>
      </w:r>
      <w:r w:rsidRPr="004B7E04">
        <w:rPr>
          <w:rFonts w:ascii="Arial" w:hAnsi="Arial" w:cs="Arial"/>
        </w:rPr>
        <w:t>i</w:t>
      </w:r>
      <w:r>
        <w:rPr>
          <w:rFonts w:ascii="Arial" w:hAnsi="Arial" w:cs="Arial"/>
        </w:rPr>
        <w:t>,</w:t>
      </w:r>
      <w:r w:rsidRPr="004B7E04">
        <w:rPr>
          <w:rFonts w:ascii="Arial" w:hAnsi="Arial" w:cs="Arial"/>
        </w:rPr>
        <w:t xml:space="preserve"> Proces karny. Zarys systemu, Warszawa 2013</w:t>
      </w:r>
      <w:r>
        <w:rPr>
          <w:rFonts w:ascii="Arial" w:hAnsi="Arial" w:cs="Arial"/>
        </w:rPr>
        <w:t xml:space="preserve">, s. </w:t>
      </w:r>
      <w:r w:rsidRPr="004B7E04">
        <w:rPr>
          <w:rFonts w:ascii="Arial" w:hAnsi="Arial" w:cs="Arial"/>
        </w:rPr>
        <w:t>485</w:t>
      </w:r>
      <w:r>
        <w:rPr>
          <w:rFonts w:ascii="Arial" w:hAnsi="Arial" w:cs="Arial"/>
        </w:rPr>
        <w:t>;</w:t>
      </w:r>
      <w:r w:rsidRPr="004B7E04">
        <w:rPr>
          <w:rFonts w:ascii="Arial" w:hAnsi="Arial" w:cs="Arial"/>
        </w:rPr>
        <w:t xml:space="preserve"> J.</w:t>
      </w:r>
      <w:r>
        <w:rPr>
          <w:rFonts w:ascii="Arial" w:hAnsi="Arial" w:cs="Arial"/>
        </w:rPr>
        <w:t> </w:t>
      </w:r>
      <w:r w:rsidRPr="00AA773D">
        <w:rPr>
          <w:rFonts w:ascii="Arial" w:hAnsi="Arial" w:cs="Arial"/>
          <w:spacing w:val="32"/>
        </w:rPr>
        <w:t>Tylma</w:t>
      </w:r>
      <w:r w:rsidRPr="004B7E04">
        <w:rPr>
          <w:rFonts w:ascii="Arial" w:hAnsi="Arial" w:cs="Arial"/>
        </w:rPr>
        <w:t>n</w:t>
      </w:r>
      <w:r>
        <w:rPr>
          <w:rFonts w:ascii="Arial" w:hAnsi="Arial" w:cs="Arial"/>
        </w:rPr>
        <w:t xml:space="preserve">, (w:) </w:t>
      </w:r>
      <w:r w:rsidRPr="004B7E04">
        <w:rPr>
          <w:rFonts w:ascii="Arial" w:hAnsi="Arial" w:cs="Arial"/>
        </w:rPr>
        <w:t xml:space="preserve">T. </w:t>
      </w:r>
      <w:r w:rsidRPr="00AA773D">
        <w:rPr>
          <w:rFonts w:ascii="Arial" w:hAnsi="Arial" w:cs="Arial"/>
          <w:spacing w:val="32"/>
        </w:rPr>
        <w:t>Grzegorczy</w:t>
      </w:r>
      <w:r w:rsidRPr="004B7E04">
        <w:rPr>
          <w:rFonts w:ascii="Arial" w:hAnsi="Arial" w:cs="Arial"/>
        </w:rPr>
        <w:t xml:space="preserve">k, J. </w:t>
      </w:r>
      <w:r w:rsidRPr="00AA773D">
        <w:rPr>
          <w:rFonts w:ascii="Arial" w:hAnsi="Arial" w:cs="Arial"/>
          <w:spacing w:val="32"/>
        </w:rPr>
        <w:t>Tylma</w:t>
      </w:r>
      <w:r w:rsidRPr="004B7E04">
        <w:rPr>
          <w:rFonts w:ascii="Arial" w:hAnsi="Arial" w:cs="Arial"/>
        </w:rPr>
        <w:t>n</w:t>
      </w:r>
      <w:r>
        <w:rPr>
          <w:rFonts w:ascii="Arial" w:hAnsi="Arial" w:cs="Arial"/>
        </w:rPr>
        <w:t>,</w:t>
      </w:r>
      <w:r w:rsidRPr="004B7E04">
        <w:rPr>
          <w:rFonts w:ascii="Arial" w:hAnsi="Arial" w:cs="Arial"/>
        </w:rPr>
        <w:t xml:space="preserve"> Polskie postępowanie karne, Warszawa 2009, s. 633</w:t>
      </w:r>
      <w:r>
        <w:rPr>
          <w:rFonts w:ascii="Arial" w:hAnsi="Arial" w:cs="Arial"/>
        </w:rPr>
        <w:t xml:space="preserve">; </w:t>
      </w:r>
      <w:r w:rsidRPr="00AA773D">
        <w:rPr>
          <w:rFonts w:ascii="Arial" w:hAnsi="Arial" w:cs="Arial"/>
          <w:spacing w:val="32"/>
        </w:rPr>
        <w:t>tenż</w:t>
      </w:r>
      <w:r>
        <w:rPr>
          <w:rFonts w:ascii="Arial" w:hAnsi="Arial" w:cs="Arial"/>
        </w:rPr>
        <w:t xml:space="preserve">e, </w:t>
      </w:r>
      <w:r w:rsidRPr="004B7E04">
        <w:rPr>
          <w:rFonts w:ascii="Arial" w:hAnsi="Arial" w:cs="Arial"/>
        </w:rPr>
        <w:t>Postępowanie przygotowawcze w nowym kodeksie postępowania ka</w:t>
      </w:r>
      <w:r w:rsidRPr="004B7E04">
        <w:rPr>
          <w:rFonts w:ascii="Arial" w:hAnsi="Arial" w:cs="Arial"/>
        </w:rPr>
        <w:t>r</w:t>
      </w:r>
      <w:r w:rsidRPr="004B7E04">
        <w:rPr>
          <w:rFonts w:ascii="Arial" w:hAnsi="Arial" w:cs="Arial"/>
        </w:rPr>
        <w:t>nego i nowa sytuacja w nim podejrzanego</w:t>
      </w:r>
      <w:r>
        <w:rPr>
          <w:rFonts w:ascii="Arial" w:hAnsi="Arial" w:cs="Arial"/>
        </w:rPr>
        <w:t xml:space="preserve">, (w:) </w:t>
      </w:r>
      <w:r w:rsidR="00BF039E">
        <w:rPr>
          <w:rFonts w:ascii="Arial" w:hAnsi="Arial" w:cs="Arial"/>
        </w:rPr>
        <w:t>Nowa kodyfikacja…</w:t>
      </w:r>
      <w:r w:rsidRPr="004B7E04">
        <w:rPr>
          <w:rFonts w:ascii="Arial" w:hAnsi="Arial" w:cs="Arial"/>
        </w:rPr>
        <w:t>, s. 70</w:t>
      </w:r>
      <w:r>
        <w:rPr>
          <w:rFonts w:ascii="Arial" w:hAnsi="Arial" w:cs="Arial"/>
        </w:rPr>
        <w:t>;</w:t>
      </w:r>
      <w:r w:rsidRPr="004B7E04">
        <w:rPr>
          <w:rFonts w:ascii="Arial" w:hAnsi="Arial" w:cs="Arial"/>
        </w:rPr>
        <w:t xml:space="preserve"> P. </w:t>
      </w:r>
      <w:r w:rsidRPr="00AA773D">
        <w:rPr>
          <w:rFonts w:ascii="Arial" w:hAnsi="Arial" w:cs="Arial"/>
          <w:spacing w:val="32"/>
        </w:rPr>
        <w:t>Hofmańsk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Kodeks postępow</w:t>
      </w:r>
      <w:r w:rsidRPr="004B7E04">
        <w:rPr>
          <w:rFonts w:ascii="Arial" w:hAnsi="Arial" w:cs="Arial"/>
        </w:rPr>
        <w:t>a</w:t>
      </w:r>
      <w:r w:rsidRPr="004B7E04">
        <w:rPr>
          <w:rFonts w:ascii="Arial" w:hAnsi="Arial" w:cs="Arial"/>
        </w:rPr>
        <w:t>nia karnego. Komentarz, t. II</w:t>
      </w:r>
      <w:r>
        <w:rPr>
          <w:rFonts w:ascii="Arial" w:hAnsi="Arial" w:cs="Arial"/>
        </w:rPr>
        <w:t>,</w:t>
      </w:r>
      <w:r w:rsidRPr="004B7E04">
        <w:rPr>
          <w:rFonts w:ascii="Arial" w:hAnsi="Arial" w:cs="Arial"/>
        </w:rPr>
        <w:t xml:space="preserve"> Warszawa</w:t>
      </w:r>
      <w:r>
        <w:rPr>
          <w:rFonts w:ascii="Arial" w:hAnsi="Arial" w:cs="Arial"/>
        </w:rPr>
        <w:t xml:space="preserve"> </w:t>
      </w:r>
      <w:r w:rsidRPr="004B7E04">
        <w:rPr>
          <w:rFonts w:ascii="Arial" w:hAnsi="Arial" w:cs="Arial"/>
        </w:rPr>
        <w:t>2007, s.</w:t>
      </w:r>
      <w:r>
        <w:rPr>
          <w:rFonts w:ascii="Arial" w:hAnsi="Arial" w:cs="Arial"/>
        </w:rPr>
        <w:t xml:space="preserve"> </w:t>
      </w:r>
      <w:r w:rsidRPr="004B7E04">
        <w:rPr>
          <w:rFonts w:ascii="Arial" w:hAnsi="Arial" w:cs="Arial"/>
        </w:rPr>
        <w:t>126.</w:t>
      </w:r>
    </w:p>
  </w:footnote>
  <w:footnote w:id="3">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 </w:t>
      </w:r>
      <w:r w:rsidRPr="00AA773D">
        <w:rPr>
          <w:rFonts w:ascii="Arial" w:hAnsi="Arial" w:cs="Arial"/>
          <w:spacing w:val="32"/>
        </w:rPr>
        <w:t>Daszkiewic</w:t>
      </w:r>
      <w:r w:rsidRPr="004B7E04">
        <w:rPr>
          <w:rFonts w:ascii="Arial" w:hAnsi="Arial" w:cs="Arial"/>
        </w:rPr>
        <w:t>z</w:t>
      </w:r>
      <w:r>
        <w:rPr>
          <w:rFonts w:ascii="Arial" w:hAnsi="Arial" w:cs="Arial"/>
        </w:rPr>
        <w:t xml:space="preserve">, (w:) </w:t>
      </w:r>
      <w:r w:rsidRPr="004B7E04">
        <w:rPr>
          <w:rFonts w:ascii="Arial" w:hAnsi="Arial" w:cs="Arial"/>
        </w:rPr>
        <w:t xml:space="preserve">W. </w:t>
      </w:r>
      <w:r w:rsidRPr="00AA773D">
        <w:rPr>
          <w:rFonts w:ascii="Arial" w:hAnsi="Arial" w:cs="Arial"/>
          <w:spacing w:val="32"/>
        </w:rPr>
        <w:t>Daszkiewic</w:t>
      </w:r>
      <w:r w:rsidRPr="004B7E04">
        <w:rPr>
          <w:rFonts w:ascii="Arial" w:hAnsi="Arial" w:cs="Arial"/>
        </w:rPr>
        <w:t xml:space="preserve">z, T. </w:t>
      </w:r>
      <w:r w:rsidRPr="006737AA">
        <w:rPr>
          <w:rFonts w:ascii="Arial" w:hAnsi="Arial" w:cs="Arial"/>
          <w:spacing w:val="32"/>
        </w:rPr>
        <w:t>Nowa</w:t>
      </w:r>
      <w:r w:rsidRPr="004B7E04">
        <w:rPr>
          <w:rFonts w:ascii="Arial" w:hAnsi="Arial" w:cs="Arial"/>
        </w:rPr>
        <w:t xml:space="preserve">k, 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Proces karny. Część szczególna, Poznań 1996, s.</w:t>
      </w:r>
      <w:r>
        <w:rPr>
          <w:rFonts w:ascii="Arial" w:hAnsi="Arial" w:cs="Arial"/>
        </w:rPr>
        <w:t xml:space="preserve"> </w:t>
      </w:r>
      <w:r w:rsidRPr="004B7E04">
        <w:rPr>
          <w:rFonts w:ascii="Arial" w:hAnsi="Arial" w:cs="Arial"/>
        </w:rPr>
        <w:t>49</w:t>
      </w:r>
      <w:r>
        <w:rPr>
          <w:rFonts w:ascii="Arial" w:hAnsi="Arial" w:cs="Arial"/>
        </w:rPr>
        <w:t>;</w:t>
      </w:r>
      <w:r w:rsidRPr="004B7E04">
        <w:rPr>
          <w:rFonts w:ascii="Arial" w:hAnsi="Arial" w:cs="Arial"/>
        </w:rPr>
        <w:t xml:space="preserve"> B. T. </w:t>
      </w:r>
      <w:r w:rsidRPr="00AA773D">
        <w:rPr>
          <w:rFonts w:ascii="Arial" w:hAnsi="Arial" w:cs="Arial"/>
          <w:spacing w:val="32"/>
        </w:rPr>
        <w:t>Bieńkowsk</w:t>
      </w:r>
      <w:r w:rsidRPr="004B7E04">
        <w:rPr>
          <w:rFonts w:ascii="Arial" w:hAnsi="Arial" w:cs="Arial"/>
        </w:rPr>
        <w:t>a</w:t>
      </w:r>
      <w:r>
        <w:rPr>
          <w:rFonts w:ascii="Arial" w:hAnsi="Arial" w:cs="Arial"/>
        </w:rPr>
        <w:t>,</w:t>
      </w:r>
      <w:r w:rsidRPr="004B7E04">
        <w:rPr>
          <w:rFonts w:ascii="Arial" w:hAnsi="Arial" w:cs="Arial"/>
        </w:rPr>
        <w:t xml:space="preserve"> Równouprawnienie stron pr</w:t>
      </w:r>
      <w:r w:rsidRPr="004B7E04">
        <w:rPr>
          <w:rFonts w:ascii="Arial" w:hAnsi="Arial" w:cs="Arial"/>
        </w:rPr>
        <w:t>o</w:t>
      </w:r>
      <w:r w:rsidRPr="004B7E04">
        <w:rPr>
          <w:rFonts w:ascii="Arial" w:hAnsi="Arial" w:cs="Arial"/>
        </w:rPr>
        <w:t>cesowych w systemie zasad polskiego procesu karnego, WPP 2005, nr 4, s. 109</w:t>
      </w:r>
      <w:r>
        <w:rPr>
          <w:rFonts w:ascii="Arial" w:hAnsi="Arial" w:cs="Arial"/>
        </w:rPr>
        <w:t>;</w:t>
      </w:r>
      <w:r w:rsidRPr="004B7E04">
        <w:rPr>
          <w:rFonts w:ascii="Arial" w:hAnsi="Arial" w:cs="Arial"/>
        </w:rPr>
        <w:t xml:space="preserve"> K. </w:t>
      </w:r>
      <w:r w:rsidRPr="00AA773D">
        <w:rPr>
          <w:rFonts w:ascii="Arial" w:hAnsi="Arial" w:cs="Arial"/>
          <w:spacing w:val="32"/>
        </w:rPr>
        <w:t>Ni</w:t>
      </w:r>
      <w:r w:rsidRPr="00AA773D">
        <w:rPr>
          <w:rFonts w:ascii="Arial" w:hAnsi="Arial" w:cs="Arial"/>
          <w:spacing w:val="32"/>
        </w:rPr>
        <w:t>t</w:t>
      </w:r>
      <w:r w:rsidRPr="00AA773D">
        <w:rPr>
          <w:rFonts w:ascii="Arial" w:hAnsi="Arial" w:cs="Arial"/>
          <w:spacing w:val="32"/>
        </w:rPr>
        <w:t>kowsk</w:t>
      </w:r>
      <w:r w:rsidRPr="004B7E04">
        <w:rPr>
          <w:rFonts w:ascii="Arial" w:hAnsi="Arial" w:cs="Arial"/>
        </w:rPr>
        <w:t>i</w:t>
      </w:r>
      <w:r>
        <w:rPr>
          <w:rFonts w:ascii="Arial" w:hAnsi="Arial" w:cs="Arial"/>
        </w:rPr>
        <w:t>,</w:t>
      </w:r>
      <w:r w:rsidRPr="004B7E04">
        <w:rPr>
          <w:rFonts w:ascii="Arial" w:hAnsi="Arial" w:cs="Arial"/>
        </w:rPr>
        <w:t xml:space="preserve"> Rola Policji</w:t>
      </w:r>
      <w:r>
        <w:rPr>
          <w:rFonts w:ascii="Arial" w:hAnsi="Arial" w:cs="Arial"/>
        </w:rPr>
        <w:t xml:space="preserve"> </w:t>
      </w:r>
      <w:r w:rsidRPr="004B7E04">
        <w:rPr>
          <w:rFonts w:ascii="Arial" w:hAnsi="Arial" w:cs="Arial"/>
        </w:rPr>
        <w:t>w polskim postępow</w:t>
      </w:r>
      <w:r>
        <w:rPr>
          <w:rFonts w:ascii="Arial" w:hAnsi="Arial" w:cs="Arial"/>
        </w:rPr>
        <w:t>aniu karnym, Poznań 2001, s. 251;</w:t>
      </w:r>
      <w:r w:rsidRPr="004B7E04">
        <w:rPr>
          <w:rFonts w:ascii="Arial" w:hAnsi="Arial" w:cs="Arial"/>
        </w:rPr>
        <w:t xml:space="preserve"> P. </w:t>
      </w:r>
      <w:r w:rsidRPr="00AA773D">
        <w:rPr>
          <w:rFonts w:ascii="Arial" w:hAnsi="Arial" w:cs="Arial"/>
          <w:spacing w:val="32"/>
        </w:rPr>
        <w:t>Hofma</w:t>
      </w:r>
      <w:r w:rsidRPr="00AA773D">
        <w:rPr>
          <w:rFonts w:ascii="Arial" w:hAnsi="Arial" w:cs="Arial"/>
          <w:spacing w:val="32"/>
        </w:rPr>
        <w:t>ń</w:t>
      </w:r>
      <w:r w:rsidRPr="00AA773D">
        <w:rPr>
          <w:rFonts w:ascii="Arial" w:hAnsi="Arial" w:cs="Arial"/>
          <w:spacing w:val="32"/>
        </w:rPr>
        <w:t>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w:t>
      </w:r>
      <w:r w:rsidRPr="004B7E04">
        <w:rPr>
          <w:rFonts w:ascii="Arial" w:hAnsi="Arial" w:cs="Arial"/>
        </w:rPr>
        <w:t>t. II, s.</w:t>
      </w:r>
      <w:r>
        <w:rPr>
          <w:rFonts w:ascii="Arial" w:hAnsi="Arial" w:cs="Arial"/>
        </w:rPr>
        <w:t xml:space="preserve"> </w:t>
      </w:r>
      <w:r w:rsidRPr="004B7E04">
        <w:rPr>
          <w:rFonts w:ascii="Arial" w:hAnsi="Arial" w:cs="Arial"/>
        </w:rPr>
        <w:t>123</w:t>
      </w:r>
      <w:r w:rsidR="00BF039E">
        <w:rPr>
          <w:rFonts w:ascii="Arial" w:hAnsi="Arial" w:cs="Arial"/>
        </w:rPr>
        <w:t>.</w:t>
      </w:r>
    </w:p>
  </w:footnote>
  <w:footnote w:id="4">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Uzasadnienie</w:t>
      </w:r>
      <w:r>
        <w:rPr>
          <w:rFonts w:ascii="Arial" w:hAnsi="Arial" w:cs="Arial"/>
        </w:rPr>
        <w:t xml:space="preserve">…, s. </w:t>
      </w:r>
      <w:r w:rsidRPr="004B7E04">
        <w:rPr>
          <w:rFonts w:ascii="Arial" w:hAnsi="Arial" w:cs="Arial"/>
        </w:rPr>
        <w:t>224.</w:t>
      </w:r>
    </w:p>
  </w:footnote>
  <w:footnote w:id="5">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M. </w:t>
      </w:r>
      <w:r w:rsidRPr="00AA773D">
        <w:rPr>
          <w:rFonts w:ascii="Arial" w:hAnsi="Arial" w:cs="Arial"/>
          <w:spacing w:val="32"/>
        </w:rPr>
        <w:t>Klejnowsk</w:t>
      </w:r>
      <w:r w:rsidRPr="004B7E04">
        <w:rPr>
          <w:rFonts w:ascii="Arial" w:hAnsi="Arial" w:cs="Arial"/>
        </w:rPr>
        <w:t xml:space="preserve">a. Z. </w:t>
      </w:r>
      <w:r w:rsidRPr="00AA773D">
        <w:rPr>
          <w:rFonts w:ascii="Arial" w:hAnsi="Arial" w:cs="Arial"/>
          <w:spacing w:val="32"/>
        </w:rPr>
        <w:t>Sobolewsk</w:t>
      </w:r>
      <w:r w:rsidRPr="004B7E04">
        <w:rPr>
          <w:rFonts w:ascii="Arial" w:hAnsi="Arial" w:cs="Arial"/>
        </w:rPr>
        <w:t>i</w:t>
      </w:r>
      <w:r>
        <w:rPr>
          <w:rFonts w:ascii="Arial" w:hAnsi="Arial" w:cs="Arial"/>
        </w:rPr>
        <w:t xml:space="preserve">, (w:) </w:t>
      </w:r>
      <w:r w:rsidRPr="004B7E04">
        <w:rPr>
          <w:rFonts w:ascii="Arial" w:hAnsi="Arial" w:cs="Arial"/>
        </w:rPr>
        <w:t xml:space="preserve">G. </w:t>
      </w:r>
      <w:r w:rsidRPr="00AA773D">
        <w:rPr>
          <w:rFonts w:ascii="Arial" w:hAnsi="Arial" w:cs="Arial"/>
          <w:spacing w:val="32"/>
        </w:rPr>
        <w:t>Artymia</w:t>
      </w:r>
      <w:r w:rsidRPr="004B7E04">
        <w:rPr>
          <w:rFonts w:ascii="Arial" w:hAnsi="Arial" w:cs="Arial"/>
        </w:rPr>
        <w:t xml:space="preserve">k, M. </w:t>
      </w:r>
      <w:r w:rsidRPr="00AA773D">
        <w:rPr>
          <w:rFonts w:ascii="Arial" w:hAnsi="Arial" w:cs="Arial"/>
          <w:spacing w:val="32"/>
        </w:rPr>
        <w:t>Klejnowsk</w:t>
      </w:r>
      <w:r w:rsidRPr="004B7E04">
        <w:rPr>
          <w:rFonts w:ascii="Arial" w:hAnsi="Arial" w:cs="Arial"/>
        </w:rPr>
        <w:t>a, C. P.</w:t>
      </w:r>
      <w:r>
        <w:rPr>
          <w:rFonts w:ascii="Arial" w:hAnsi="Arial" w:cs="Arial"/>
        </w:rPr>
        <w:t xml:space="preserve"> </w:t>
      </w:r>
      <w:r w:rsidRPr="00AA773D">
        <w:rPr>
          <w:rFonts w:ascii="Arial" w:hAnsi="Arial" w:cs="Arial"/>
          <w:spacing w:val="32"/>
        </w:rPr>
        <w:t>Kla</w:t>
      </w:r>
      <w:r w:rsidRPr="004B7E04">
        <w:rPr>
          <w:rFonts w:ascii="Arial" w:hAnsi="Arial" w:cs="Arial"/>
        </w:rPr>
        <w:t xml:space="preserve">k, A. </w:t>
      </w:r>
      <w:r w:rsidRPr="00AA773D">
        <w:rPr>
          <w:rFonts w:ascii="Arial" w:hAnsi="Arial" w:cs="Arial"/>
          <w:spacing w:val="32"/>
        </w:rPr>
        <w:t>Masłowsk</w:t>
      </w:r>
      <w:r w:rsidRPr="004B7E04">
        <w:rPr>
          <w:rFonts w:ascii="Arial" w:hAnsi="Arial" w:cs="Arial"/>
        </w:rPr>
        <w:t xml:space="preserve">a, Z. </w:t>
      </w:r>
      <w:r w:rsidRPr="00AA773D">
        <w:rPr>
          <w:rFonts w:ascii="Arial" w:hAnsi="Arial" w:cs="Arial"/>
          <w:spacing w:val="32"/>
        </w:rPr>
        <w:t>Sobolewsk</w:t>
      </w:r>
      <w:r w:rsidRPr="004B7E04">
        <w:rPr>
          <w:rFonts w:ascii="Arial" w:hAnsi="Arial" w:cs="Arial"/>
        </w:rPr>
        <w:t xml:space="preserve">i, P. K. </w:t>
      </w:r>
      <w:r w:rsidRPr="00AA773D">
        <w:rPr>
          <w:rFonts w:ascii="Arial" w:hAnsi="Arial" w:cs="Arial"/>
          <w:spacing w:val="32"/>
        </w:rPr>
        <w:t>Sowińsk</w:t>
      </w:r>
      <w:r w:rsidRPr="004B7E04">
        <w:rPr>
          <w:rFonts w:ascii="Arial" w:hAnsi="Arial" w:cs="Arial"/>
        </w:rPr>
        <w:t>i</w:t>
      </w:r>
      <w:r>
        <w:rPr>
          <w:rFonts w:ascii="Arial" w:hAnsi="Arial" w:cs="Arial"/>
        </w:rPr>
        <w:t>,</w:t>
      </w:r>
      <w:r w:rsidRPr="004B7E04">
        <w:rPr>
          <w:rFonts w:ascii="Arial" w:hAnsi="Arial" w:cs="Arial"/>
        </w:rPr>
        <w:t xml:space="preserve"> Proces karny. Część szczególna, Warsz</w:t>
      </w:r>
      <w:r w:rsidRPr="004B7E04">
        <w:rPr>
          <w:rFonts w:ascii="Arial" w:hAnsi="Arial" w:cs="Arial"/>
        </w:rPr>
        <w:t>a</w:t>
      </w:r>
      <w:r w:rsidRPr="004B7E04">
        <w:rPr>
          <w:rFonts w:ascii="Arial" w:hAnsi="Arial" w:cs="Arial"/>
        </w:rPr>
        <w:t>wa 2007, s. 42.</w:t>
      </w:r>
    </w:p>
  </w:footnote>
  <w:footnote w:id="6">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D. </w:t>
      </w:r>
      <w:r w:rsidRPr="00AA773D">
        <w:rPr>
          <w:rFonts w:ascii="Arial" w:hAnsi="Arial" w:cs="Arial"/>
          <w:spacing w:val="32"/>
        </w:rPr>
        <w:t>Osowsk</w:t>
      </w:r>
      <w:r w:rsidRPr="004B7E04">
        <w:rPr>
          <w:rFonts w:ascii="Arial" w:hAnsi="Arial" w:cs="Arial"/>
        </w:rPr>
        <w:t>a</w:t>
      </w:r>
      <w:r>
        <w:rPr>
          <w:rFonts w:ascii="Arial" w:hAnsi="Arial" w:cs="Arial"/>
        </w:rPr>
        <w:t xml:space="preserve">, (w:) </w:t>
      </w:r>
      <w:r w:rsidRPr="004B7E04">
        <w:rPr>
          <w:rFonts w:ascii="Arial" w:hAnsi="Arial" w:cs="Arial"/>
        </w:rPr>
        <w:t xml:space="preserve">A. </w:t>
      </w:r>
      <w:r w:rsidRPr="00AA773D">
        <w:rPr>
          <w:rFonts w:ascii="Arial" w:hAnsi="Arial" w:cs="Arial"/>
          <w:spacing w:val="32"/>
        </w:rPr>
        <w:t>Bulsiewic</w:t>
      </w:r>
      <w:r w:rsidRPr="004B7E04">
        <w:rPr>
          <w:rFonts w:ascii="Arial" w:hAnsi="Arial" w:cs="Arial"/>
        </w:rPr>
        <w:t xml:space="preserve">z, M. </w:t>
      </w:r>
      <w:r w:rsidRPr="00AA773D">
        <w:rPr>
          <w:rFonts w:ascii="Arial" w:hAnsi="Arial" w:cs="Arial"/>
          <w:spacing w:val="32"/>
        </w:rPr>
        <w:t>Ludwichowska-Je</w:t>
      </w:r>
      <w:r w:rsidRPr="004B7E04">
        <w:rPr>
          <w:rFonts w:ascii="Arial" w:hAnsi="Arial" w:cs="Arial"/>
        </w:rPr>
        <w:t>ż, A.</w:t>
      </w:r>
      <w:r>
        <w:rPr>
          <w:rFonts w:ascii="Arial" w:hAnsi="Arial" w:cs="Arial"/>
        </w:rPr>
        <w:t xml:space="preserve"> </w:t>
      </w:r>
      <w:r w:rsidRPr="00AA773D">
        <w:rPr>
          <w:rFonts w:ascii="Arial" w:hAnsi="Arial" w:cs="Arial"/>
          <w:spacing w:val="32"/>
        </w:rPr>
        <w:t>Kal</w:t>
      </w:r>
      <w:r w:rsidRPr="004B7E04">
        <w:rPr>
          <w:rFonts w:ascii="Arial" w:hAnsi="Arial" w:cs="Arial"/>
        </w:rPr>
        <w:t xml:space="preserve">a, D. </w:t>
      </w:r>
      <w:r w:rsidRPr="00AA773D">
        <w:rPr>
          <w:rFonts w:ascii="Arial" w:hAnsi="Arial" w:cs="Arial"/>
          <w:spacing w:val="32"/>
        </w:rPr>
        <w:t>Oso</w:t>
      </w:r>
      <w:r w:rsidRPr="00AA773D">
        <w:rPr>
          <w:rFonts w:ascii="Arial" w:hAnsi="Arial" w:cs="Arial"/>
          <w:spacing w:val="32"/>
        </w:rPr>
        <w:t>w</w:t>
      </w:r>
      <w:r w:rsidRPr="00AA773D">
        <w:rPr>
          <w:rFonts w:ascii="Arial" w:hAnsi="Arial" w:cs="Arial"/>
          <w:spacing w:val="32"/>
        </w:rPr>
        <w:t>sk</w:t>
      </w:r>
      <w:r w:rsidRPr="004B7E04">
        <w:rPr>
          <w:rFonts w:ascii="Arial" w:hAnsi="Arial" w:cs="Arial"/>
        </w:rPr>
        <w:t>a</w:t>
      </w:r>
      <w:r>
        <w:rPr>
          <w:rFonts w:ascii="Arial" w:hAnsi="Arial" w:cs="Arial"/>
        </w:rPr>
        <w:t>,</w:t>
      </w:r>
      <w:r w:rsidRPr="004B7E04">
        <w:rPr>
          <w:rFonts w:ascii="Arial" w:hAnsi="Arial" w:cs="Arial"/>
        </w:rPr>
        <w:t xml:space="preserve"> Przebieg pr</w:t>
      </w:r>
      <w:r w:rsidRPr="004B7E04">
        <w:rPr>
          <w:rFonts w:ascii="Arial" w:hAnsi="Arial" w:cs="Arial"/>
        </w:rPr>
        <w:t>o</w:t>
      </w:r>
      <w:r w:rsidRPr="004B7E04">
        <w:rPr>
          <w:rFonts w:ascii="Arial" w:hAnsi="Arial" w:cs="Arial"/>
        </w:rPr>
        <w:t xml:space="preserve">cesu karnego, Toruń 2003, </w:t>
      </w:r>
      <w:r>
        <w:rPr>
          <w:rFonts w:ascii="Arial" w:hAnsi="Arial" w:cs="Arial"/>
        </w:rPr>
        <w:t xml:space="preserve">s. </w:t>
      </w:r>
      <w:r w:rsidRPr="004B7E04">
        <w:rPr>
          <w:rFonts w:ascii="Arial" w:hAnsi="Arial" w:cs="Arial"/>
        </w:rPr>
        <w:t>57.</w:t>
      </w:r>
    </w:p>
  </w:footnote>
  <w:footnote w:id="7">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M. </w:t>
      </w:r>
      <w:r w:rsidRPr="00AA773D">
        <w:rPr>
          <w:rFonts w:ascii="Arial" w:hAnsi="Arial" w:cs="Arial"/>
          <w:spacing w:val="32"/>
        </w:rPr>
        <w:t>Klejnowsk</w:t>
      </w:r>
      <w:r w:rsidRPr="004B7E04">
        <w:rPr>
          <w:rFonts w:ascii="Arial" w:hAnsi="Arial" w:cs="Arial"/>
        </w:rPr>
        <w:t xml:space="preserve">a. Z. </w:t>
      </w:r>
      <w:r w:rsidRPr="00AA773D">
        <w:rPr>
          <w:rFonts w:ascii="Arial" w:hAnsi="Arial" w:cs="Arial"/>
          <w:spacing w:val="32"/>
        </w:rPr>
        <w:t>Sobolewsk</w:t>
      </w:r>
      <w:r w:rsidRPr="004B7E04">
        <w:rPr>
          <w:rFonts w:ascii="Arial" w:hAnsi="Arial" w:cs="Arial"/>
        </w:rPr>
        <w:t>i</w:t>
      </w:r>
      <w:r>
        <w:rPr>
          <w:rFonts w:ascii="Arial" w:hAnsi="Arial" w:cs="Arial"/>
        </w:rPr>
        <w:t xml:space="preserve">, (w:) </w:t>
      </w:r>
      <w:r w:rsidRPr="004B7E04">
        <w:rPr>
          <w:rFonts w:ascii="Arial" w:hAnsi="Arial" w:cs="Arial"/>
        </w:rPr>
        <w:t xml:space="preserve">G. </w:t>
      </w:r>
      <w:r w:rsidRPr="00AA773D">
        <w:rPr>
          <w:rFonts w:ascii="Arial" w:hAnsi="Arial" w:cs="Arial"/>
          <w:spacing w:val="32"/>
        </w:rPr>
        <w:t>Artymia</w:t>
      </w:r>
      <w:r w:rsidRPr="004B7E04">
        <w:rPr>
          <w:rFonts w:ascii="Arial" w:hAnsi="Arial" w:cs="Arial"/>
        </w:rPr>
        <w:t>k</w:t>
      </w:r>
      <w:r w:rsidR="00BF039E">
        <w:rPr>
          <w:rFonts w:ascii="Arial" w:hAnsi="Arial" w:cs="Arial"/>
        </w:rPr>
        <w:t xml:space="preserve"> i in.</w:t>
      </w:r>
      <w:r>
        <w:rPr>
          <w:rFonts w:ascii="Arial" w:hAnsi="Arial" w:cs="Arial"/>
        </w:rPr>
        <w:t>,</w:t>
      </w:r>
      <w:r w:rsidRPr="004B7E04">
        <w:rPr>
          <w:rFonts w:ascii="Arial" w:hAnsi="Arial" w:cs="Arial"/>
        </w:rPr>
        <w:t xml:space="preserve"> Proces karny</w:t>
      </w:r>
      <w:r>
        <w:rPr>
          <w:rFonts w:ascii="Arial" w:hAnsi="Arial" w:cs="Arial"/>
        </w:rPr>
        <w:t xml:space="preserve">…, s. </w:t>
      </w:r>
      <w:r w:rsidRPr="004B7E04">
        <w:rPr>
          <w:rFonts w:ascii="Arial" w:hAnsi="Arial" w:cs="Arial"/>
        </w:rPr>
        <w:t>42.</w:t>
      </w:r>
    </w:p>
  </w:footnote>
  <w:footnote w:id="8">
    <w:p w:rsidR="005E3422" w:rsidRPr="004B7E04" w:rsidRDefault="005E3422" w:rsidP="004B7E04">
      <w:pPr>
        <w:pStyle w:val="przypisy"/>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P. </w:t>
      </w:r>
      <w:r w:rsidRPr="00AA773D">
        <w:rPr>
          <w:rFonts w:ascii="Arial" w:hAnsi="Arial" w:cs="Arial"/>
          <w:spacing w:val="32"/>
        </w:rPr>
        <w:t>Hofmańsk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w:t>
      </w:r>
      <w:r w:rsidRPr="004B7E04">
        <w:rPr>
          <w:rFonts w:ascii="Arial" w:hAnsi="Arial" w:cs="Arial"/>
        </w:rPr>
        <w:t xml:space="preserve"> t. II, s.</w:t>
      </w:r>
      <w:r>
        <w:rPr>
          <w:rFonts w:ascii="Arial" w:hAnsi="Arial" w:cs="Arial"/>
        </w:rPr>
        <w:t xml:space="preserve"> </w:t>
      </w:r>
      <w:r w:rsidRPr="004B7E04">
        <w:rPr>
          <w:rFonts w:ascii="Arial" w:hAnsi="Arial" w:cs="Arial"/>
        </w:rPr>
        <w:t>124.</w:t>
      </w:r>
    </w:p>
  </w:footnote>
  <w:footnote w:id="9">
    <w:p w:rsidR="005E3422" w:rsidRPr="004B7E04" w:rsidRDefault="005E3422" w:rsidP="00AA773D">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Zamknięcie śledztwa lub dochodzenia po nowelizacji kodeksu postęp</w:t>
      </w:r>
      <w:r w:rsidRPr="004B7E04">
        <w:rPr>
          <w:rFonts w:ascii="Arial" w:hAnsi="Arial" w:cs="Arial"/>
        </w:rPr>
        <w:t>o</w:t>
      </w:r>
      <w:r w:rsidRPr="004B7E04">
        <w:rPr>
          <w:rFonts w:ascii="Arial" w:hAnsi="Arial" w:cs="Arial"/>
        </w:rPr>
        <w:t xml:space="preserve">wania karnego, Prok. i Pr. 2004, </w:t>
      </w:r>
      <w:r>
        <w:rPr>
          <w:rFonts w:ascii="Arial" w:hAnsi="Arial" w:cs="Arial"/>
        </w:rPr>
        <w:t>n</w:t>
      </w:r>
      <w:r w:rsidRPr="004B7E04">
        <w:rPr>
          <w:rFonts w:ascii="Arial" w:hAnsi="Arial" w:cs="Arial"/>
        </w:rPr>
        <w:t>r 2, s.</w:t>
      </w:r>
      <w:r>
        <w:rPr>
          <w:rFonts w:ascii="Arial" w:hAnsi="Arial" w:cs="Arial"/>
        </w:rPr>
        <w:t xml:space="preserve"> </w:t>
      </w:r>
      <w:r w:rsidRPr="004B7E04">
        <w:rPr>
          <w:rFonts w:ascii="Arial" w:hAnsi="Arial" w:cs="Arial"/>
        </w:rPr>
        <w:t>16</w:t>
      </w:r>
      <w:r>
        <w:rPr>
          <w:rFonts w:ascii="Arial" w:hAnsi="Arial" w:cs="Arial"/>
        </w:rPr>
        <w:t xml:space="preserve">; </w:t>
      </w:r>
      <w:r w:rsidRPr="00AA773D">
        <w:rPr>
          <w:rFonts w:ascii="Arial" w:hAnsi="Arial" w:cs="Arial"/>
          <w:spacing w:val="32"/>
        </w:rPr>
        <w:t>tenż</w:t>
      </w:r>
      <w:r>
        <w:rPr>
          <w:rFonts w:ascii="Arial" w:hAnsi="Arial" w:cs="Arial"/>
        </w:rPr>
        <w:t xml:space="preserve">e; (w:) </w:t>
      </w:r>
      <w:r w:rsidRPr="004B7E04">
        <w:rPr>
          <w:rFonts w:ascii="Arial" w:hAnsi="Arial" w:cs="Arial"/>
        </w:rPr>
        <w:t xml:space="preserve">K. </w:t>
      </w:r>
      <w:r w:rsidRPr="00AA773D">
        <w:rPr>
          <w:rFonts w:ascii="Arial" w:hAnsi="Arial" w:cs="Arial"/>
          <w:spacing w:val="32"/>
        </w:rPr>
        <w:t>Marsza</w:t>
      </w:r>
      <w:r w:rsidRPr="004B7E04">
        <w:rPr>
          <w:rFonts w:ascii="Arial" w:hAnsi="Arial" w:cs="Arial"/>
        </w:rPr>
        <w:t xml:space="preserve">ł, S. </w:t>
      </w:r>
      <w:r w:rsidRPr="00AA773D">
        <w:rPr>
          <w:rFonts w:ascii="Arial" w:hAnsi="Arial" w:cs="Arial"/>
          <w:spacing w:val="32"/>
        </w:rPr>
        <w:t>Stachowia</w:t>
      </w:r>
      <w:r w:rsidRPr="004B7E04">
        <w:rPr>
          <w:rFonts w:ascii="Arial" w:hAnsi="Arial" w:cs="Arial"/>
        </w:rPr>
        <w:t xml:space="preserve">k, K. </w:t>
      </w:r>
      <w:r w:rsidRPr="00AA773D">
        <w:rPr>
          <w:rFonts w:ascii="Arial" w:hAnsi="Arial" w:cs="Arial"/>
          <w:spacing w:val="32"/>
        </w:rPr>
        <w:t>Sycht</w:t>
      </w:r>
      <w:r w:rsidRPr="004B7E04">
        <w:rPr>
          <w:rFonts w:ascii="Arial" w:hAnsi="Arial" w:cs="Arial"/>
        </w:rPr>
        <w:t xml:space="preserve">a, J. </w:t>
      </w:r>
      <w:r w:rsidRPr="00AA773D">
        <w:rPr>
          <w:rFonts w:ascii="Arial" w:hAnsi="Arial" w:cs="Arial"/>
          <w:spacing w:val="32"/>
        </w:rPr>
        <w:t>Zagrodni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Proces karny. Przebieg postępowania, Katow</w:t>
      </w:r>
      <w:r w:rsidRPr="004B7E04">
        <w:rPr>
          <w:rFonts w:ascii="Arial" w:hAnsi="Arial" w:cs="Arial"/>
        </w:rPr>
        <w:t>i</w:t>
      </w:r>
      <w:r w:rsidRPr="004B7E04">
        <w:rPr>
          <w:rFonts w:ascii="Arial" w:hAnsi="Arial" w:cs="Arial"/>
        </w:rPr>
        <w:t>ce 2008, s. 51</w:t>
      </w:r>
      <w:r>
        <w:rPr>
          <w:rFonts w:ascii="Arial" w:hAnsi="Arial" w:cs="Arial"/>
        </w:rPr>
        <w:t>;</w:t>
      </w:r>
      <w:r w:rsidRPr="004B7E04">
        <w:rPr>
          <w:rFonts w:ascii="Arial" w:hAnsi="Arial" w:cs="Arial"/>
        </w:rPr>
        <w:t xml:space="preserve"> J. </w:t>
      </w:r>
      <w:r w:rsidRPr="00AA773D">
        <w:rPr>
          <w:rFonts w:ascii="Arial" w:hAnsi="Arial" w:cs="Arial"/>
          <w:spacing w:val="32"/>
        </w:rPr>
        <w:t>Grajewsk</w:t>
      </w:r>
      <w:r w:rsidRPr="004B7E04">
        <w:rPr>
          <w:rFonts w:ascii="Arial" w:hAnsi="Arial" w:cs="Arial"/>
        </w:rPr>
        <w:t>i</w:t>
      </w:r>
      <w:r>
        <w:rPr>
          <w:rFonts w:ascii="Arial" w:hAnsi="Arial" w:cs="Arial"/>
        </w:rPr>
        <w:t>,</w:t>
      </w:r>
      <w:r w:rsidRPr="004B7E04">
        <w:rPr>
          <w:rFonts w:ascii="Arial" w:hAnsi="Arial" w:cs="Arial"/>
        </w:rPr>
        <w:t xml:space="preserve"> Przebieg procesu karnego, Warszawa 2012, s.</w:t>
      </w:r>
      <w:r>
        <w:rPr>
          <w:rFonts w:ascii="Arial" w:hAnsi="Arial" w:cs="Arial"/>
        </w:rPr>
        <w:t xml:space="preserve"> </w:t>
      </w:r>
      <w:r w:rsidRPr="004B7E04">
        <w:rPr>
          <w:rFonts w:ascii="Arial" w:hAnsi="Arial" w:cs="Arial"/>
        </w:rPr>
        <w:t>80.</w:t>
      </w:r>
    </w:p>
  </w:footnote>
  <w:footnote w:id="10">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M. </w:t>
      </w:r>
      <w:r w:rsidRPr="00AA773D">
        <w:rPr>
          <w:rFonts w:ascii="Arial" w:hAnsi="Arial" w:cs="Arial"/>
          <w:spacing w:val="32"/>
        </w:rPr>
        <w:t>Kurowsk</w:t>
      </w:r>
      <w:r w:rsidRPr="004B7E04">
        <w:rPr>
          <w:rFonts w:ascii="Arial" w:hAnsi="Arial" w:cs="Arial"/>
        </w:rPr>
        <w:t>i</w:t>
      </w:r>
      <w:r>
        <w:rPr>
          <w:rFonts w:ascii="Arial" w:hAnsi="Arial" w:cs="Arial"/>
        </w:rPr>
        <w:t xml:space="preserve">, (w:) </w:t>
      </w:r>
      <w:r w:rsidRPr="004B7E04">
        <w:rPr>
          <w:rFonts w:ascii="Arial" w:hAnsi="Arial" w:cs="Arial"/>
        </w:rPr>
        <w:t xml:space="preserve">B. </w:t>
      </w:r>
      <w:r w:rsidRPr="00AA773D">
        <w:rPr>
          <w:rFonts w:ascii="Arial" w:hAnsi="Arial" w:cs="Arial"/>
          <w:spacing w:val="32"/>
        </w:rPr>
        <w:t>Augustynia</w:t>
      </w:r>
      <w:r w:rsidRPr="004B7E04">
        <w:rPr>
          <w:rFonts w:ascii="Arial" w:hAnsi="Arial" w:cs="Arial"/>
        </w:rPr>
        <w:t xml:space="preserve">k, K. </w:t>
      </w:r>
      <w:r w:rsidRPr="00AA773D">
        <w:rPr>
          <w:rFonts w:ascii="Arial" w:hAnsi="Arial" w:cs="Arial"/>
          <w:spacing w:val="32"/>
        </w:rPr>
        <w:t>Eichstaed</w:t>
      </w:r>
      <w:r w:rsidRPr="004B7E04">
        <w:rPr>
          <w:rFonts w:ascii="Arial" w:hAnsi="Arial" w:cs="Arial"/>
        </w:rPr>
        <w:t xml:space="preserve">t, M. </w:t>
      </w:r>
      <w:r w:rsidRPr="00AA773D">
        <w:rPr>
          <w:rFonts w:ascii="Arial" w:hAnsi="Arial" w:cs="Arial"/>
          <w:spacing w:val="32"/>
        </w:rPr>
        <w:t>Kurowsk</w:t>
      </w:r>
      <w:r w:rsidRPr="004B7E04">
        <w:rPr>
          <w:rFonts w:ascii="Arial" w:hAnsi="Arial" w:cs="Arial"/>
        </w:rPr>
        <w:t xml:space="preserve">i, D. </w:t>
      </w:r>
      <w:r w:rsidRPr="00AA773D">
        <w:rPr>
          <w:rFonts w:ascii="Arial" w:hAnsi="Arial" w:cs="Arial"/>
          <w:spacing w:val="32"/>
        </w:rPr>
        <w:t>Świeck</w:t>
      </w:r>
      <w:r w:rsidRPr="004B7E04">
        <w:rPr>
          <w:rFonts w:ascii="Arial" w:hAnsi="Arial" w:cs="Arial"/>
        </w:rPr>
        <w:t>i</w:t>
      </w:r>
      <w:r>
        <w:rPr>
          <w:rFonts w:ascii="Arial" w:hAnsi="Arial" w:cs="Arial"/>
        </w:rPr>
        <w:t>,</w:t>
      </w:r>
      <w:r w:rsidRPr="004B7E04">
        <w:rPr>
          <w:rFonts w:ascii="Arial" w:hAnsi="Arial" w:cs="Arial"/>
        </w:rPr>
        <w:t xml:space="preserve"> Kodeks postęp</w:t>
      </w:r>
      <w:r w:rsidRPr="004B7E04">
        <w:rPr>
          <w:rFonts w:ascii="Arial" w:hAnsi="Arial" w:cs="Arial"/>
        </w:rPr>
        <w:t>o</w:t>
      </w:r>
      <w:r w:rsidRPr="004B7E04">
        <w:rPr>
          <w:rFonts w:ascii="Arial" w:hAnsi="Arial" w:cs="Arial"/>
        </w:rPr>
        <w:t>wania karnego. Komentarz, t. I, Warszawa 2013, s.</w:t>
      </w:r>
      <w:r>
        <w:rPr>
          <w:rFonts w:ascii="Arial" w:hAnsi="Arial" w:cs="Arial"/>
        </w:rPr>
        <w:t xml:space="preserve"> </w:t>
      </w:r>
      <w:r w:rsidRPr="004B7E04">
        <w:rPr>
          <w:rFonts w:ascii="Arial" w:hAnsi="Arial" w:cs="Arial"/>
        </w:rPr>
        <w:t>984.</w:t>
      </w:r>
    </w:p>
  </w:footnote>
  <w:footnote w:id="11">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I. </w:t>
      </w:r>
      <w:r w:rsidRPr="00AA773D">
        <w:rPr>
          <w:rFonts w:ascii="Arial" w:hAnsi="Arial" w:cs="Arial"/>
          <w:spacing w:val="32"/>
        </w:rPr>
        <w:t>Dziugie</w:t>
      </w:r>
      <w:r w:rsidRPr="004B7E04">
        <w:rPr>
          <w:rFonts w:ascii="Arial" w:hAnsi="Arial" w:cs="Arial"/>
        </w:rPr>
        <w:t>l</w:t>
      </w:r>
      <w:r>
        <w:rPr>
          <w:rFonts w:ascii="Arial" w:hAnsi="Arial" w:cs="Arial"/>
        </w:rPr>
        <w:t>,</w:t>
      </w:r>
      <w:r w:rsidRPr="004B7E04">
        <w:rPr>
          <w:rFonts w:ascii="Arial" w:hAnsi="Arial" w:cs="Arial"/>
        </w:rPr>
        <w:t xml:space="preserve"> </w:t>
      </w:r>
      <w:r w:rsidRPr="004B7E04">
        <w:rPr>
          <w:rFonts w:ascii="Arial" w:hAnsi="Arial" w:cs="Arial"/>
          <w:iCs/>
        </w:rPr>
        <w:t>Zamknięcie śledztwa lub dochodzenia w nowym kodeksie postępowania ka</w:t>
      </w:r>
      <w:r w:rsidRPr="004B7E04">
        <w:rPr>
          <w:rFonts w:ascii="Arial" w:hAnsi="Arial" w:cs="Arial"/>
          <w:iCs/>
        </w:rPr>
        <w:t>r</w:t>
      </w:r>
      <w:r w:rsidRPr="004B7E04">
        <w:rPr>
          <w:rFonts w:ascii="Arial" w:hAnsi="Arial" w:cs="Arial"/>
          <w:iCs/>
        </w:rPr>
        <w:t>nego</w:t>
      </w:r>
      <w:r w:rsidRPr="004B7E04">
        <w:rPr>
          <w:rFonts w:ascii="Arial" w:hAnsi="Arial" w:cs="Arial"/>
        </w:rPr>
        <w:t>,</w:t>
      </w:r>
      <w:r>
        <w:rPr>
          <w:rFonts w:ascii="Arial" w:hAnsi="Arial" w:cs="Arial"/>
        </w:rPr>
        <w:t xml:space="preserve"> </w:t>
      </w:r>
      <w:r w:rsidRPr="004B7E04">
        <w:rPr>
          <w:rFonts w:ascii="Arial" w:hAnsi="Arial" w:cs="Arial"/>
        </w:rPr>
        <w:t>Policja 2002, nr 1, s. 48</w:t>
      </w:r>
      <w:r>
        <w:rPr>
          <w:rFonts w:ascii="Arial" w:hAnsi="Arial" w:cs="Arial"/>
        </w:rPr>
        <w:t>;</w:t>
      </w:r>
      <w:r w:rsidRPr="004B7E04">
        <w:rPr>
          <w:rFonts w:ascii="Arial" w:hAnsi="Arial" w:cs="Arial"/>
        </w:rPr>
        <w:t xml:space="preserve"> J. </w:t>
      </w:r>
      <w:r w:rsidRPr="00AA773D">
        <w:rPr>
          <w:rFonts w:ascii="Arial" w:hAnsi="Arial" w:cs="Arial"/>
          <w:spacing w:val="32"/>
        </w:rPr>
        <w:t>Tylma</w:t>
      </w:r>
      <w:r w:rsidRPr="004B7E04">
        <w:rPr>
          <w:rFonts w:ascii="Arial" w:hAnsi="Arial" w:cs="Arial"/>
        </w:rPr>
        <w:t>n</w:t>
      </w:r>
      <w:r>
        <w:rPr>
          <w:rFonts w:ascii="Arial" w:hAnsi="Arial" w:cs="Arial"/>
        </w:rPr>
        <w:t xml:space="preserve">, (w:) </w:t>
      </w:r>
      <w:r w:rsidRPr="004B7E04">
        <w:rPr>
          <w:rFonts w:ascii="Arial" w:hAnsi="Arial" w:cs="Arial"/>
        </w:rPr>
        <w:t xml:space="preserve">T. </w:t>
      </w:r>
      <w:r w:rsidRPr="00AA773D">
        <w:rPr>
          <w:rFonts w:ascii="Arial" w:hAnsi="Arial" w:cs="Arial"/>
          <w:spacing w:val="32"/>
        </w:rPr>
        <w:t>Grzegorczy</w:t>
      </w:r>
      <w:r w:rsidRPr="004B7E04">
        <w:rPr>
          <w:rFonts w:ascii="Arial" w:hAnsi="Arial" w:cs="Arial"/>
        </w:rPr>
        <w:t xml:space="preserve">k, J. </w:t>
      </w:r>
      <w:r w:rsidRPr="00AA773D">
        <w:rPr>
          <w:rFonts w:ascii="Arial" w:hAnsi="Arial" w:cs="Arial"/>
          <w:spacing w:val="32"/>
        </w:rPr>
        <w:t>Tylma</w:t>
      </w:r>
      <w:r w:rsidRPr="004B7E04">
        <w:rPr>
          <w:rFonts w:ascii="Arial" w:hAnsi="Arial" w:cs="Arial"/>
        </w:rPr>
        <w:t>n</w:t>
      </w:r>
      <w:r>
        <w:rPr>
          <w:rFonts w:ascii="Arial" w:hAnsi="Arial" w:cs="Arial"/>
        </w:rPr>
        <w:t>,</w:t>
      </w:r>
      <w:r w:rsidRPr="004B7E04">
        <w:rPr>
          <w:rFonts w:ascii="Arial" w:hAnsi="Arial" w:cs="Arial"/>
        </w:rPr>
        <w:t xml:space="preserve"> Polskie postępow</w:t>
      </w:r>
      <w:r w:rsidRPr="004B7E04">
        <w:rPr>
          <w:rFonts w:ascii="Arial" w:hAnsi="Arial" w:cs="Arial"/>
        </w:rPr>
        <w:t>a</w:t>
      </w:r>
      <w:r w:rsidRPr="004B7E04">
        <w:rPr>
          <w:rFonts w:ascii="Arial" w:hAnsi="Arial" w:cs="Arial"/>
        </w:rPr>
        <w:t>nie karne</w:t>
      </w:r>
      <w:r>
        <w:rPr>
          <w:rFonts w:ascii="Arial" w:hAnsi="Arial" w:cs="Arial"/>
        </w:rPr>
        <w:t xml:space="preserve">…, s. </w:t>
      </w:r>
      <w:r w:rsidRPr="004B7E04">
        <w:rPr>
          <w:rFonts w:ascii="Arial" w:hAnsi="Arial" w:cs="Arial"/>
        </w:rPr>
        <w:t>634.</w:t>
      </w:r>
    </w:p>
  </w:footnote>
  <w:footnote w:id="12">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 śledztwa i dochodzenia, Prok. i Pr. 1997, nr 11</w:t>
      </w:r>
      <w:r>
        <w:rPr>
          <w:rFonts w:ascii="Arial" w:hAnsi="Arial" w:cs="Arial"/>
        </w:rPr>
        <w:t xml:space="preserve">, s. </w:t>
      </w:r>
      <w:r w:rsidRPr="004B7E04">
        <w:rPr>
          <w:rFonts w:ascii="Arial" w:hAnsi="Arial" w:cs="Arial"/>
        </w:rPr>
        <w:t>146.</w:t>
      </w:r>
    </w:p>
  </w:footnote>
  <w:footnote w:id="13">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sidRPr="004B7E04">
        <w:rPr>
          <w:rFonts w:ascii="Arial" w:hAnsi="Arial" w:cs="Arial"/>
          <w:bCs/>
        </w:rPr>
        <w:t>Dz. U. Nr 17, poz. 155.</w:t>
      </w:r>
    </w:p>
  </w:footnote>
  <w:footnote w:id="14">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18.</w:t>
      </w:r>
    </w:p>
  </w:footnote>
  <w:footnote w:id="15">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sidRPr="0091305D">
        <w:rPr>
          <w:rFonts w:ascii="Arial" w:hAnsi="Arial" w:cs="Arial"/>
          <w:i/>
        </w:rPr>
        <w:t>Ibidem</w:t>
      </w:r>
      <w:r w:rsidRPr="004B7E04">
        <w:rPr>
          <w:rFonts w:ascii="Arial" w:hAnsi="Arial" w:cs="Arial"/>
        </w:rPr>
        <w:t>.</w:t>
      </w:r>
    </w:p>
  </w:footnote>
  <w:footnote w:id="16">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R.</w:t>
      </w:r>
      <w:r>
        <w:rPr>
          <w:rFonts w:ascii="Arial" w:hAnsi="Arial" w:cs="Arial"/>
        </w:rPr>
        <w:t xml:space="preserve"> </w:t>
      </w:r>
      <w:r w:rsidRPr="004B7E04">
        <w:rPr>
          <w:rFonts w:ascii="Arial" w:hAnsi="Arial" w:cs="Arial"/>
        </w:rPr>
        <w:t xml:space="preserve">A. </w:t>
      </w:r>
      <w:r w:rsidRPr="00AA773D">
        <w:rPr>
          <w:rFonts w:ascii="Arial" w:hAnsi="Arial" w:cs="Arial"/>
          <w:spacing w:val="32"/>
        </w:rPr>
        <w:t>Stefańsk</w:t>
      </w:r>
      <w:r w:rsidRPr="004B7E04">
        <w:rPr>
          <w:rFonts w:ascii="Arial" w:hAnsi="Arial" w:cs="Arial"/>
        </w:rPr>
        <w:t>i</w:t>
      </w:r>
      <w:r>
        <w:rPr>
          <w:rFonts w:ascii="Arial" w:hAnsi="Arial" w:cs="Arial"/>
        </w:rPr>
        <w:t xml:space="preserve">, (w:) </w:t>
      </w:r>
      <w:r w:rsidRPr="004B7E04">
        <w:rPr>
          <w:rFonts w:ascii="Arial" w:hAnsi="Arial" w:cs="Arial"/>
        </w:rPr>
        <w:t xml:space="preserve">J. </w:t>
      </w:r>
      <w:r w:rsidRPr="00AA773D">
        <w:rPr>
          <w:rFonts w:ascii="Arial" w:hAnsi="Arial" w:cs="Arial"/>
          <w:spacing w:val="32"/>
        </w:rPr>
        <w:t>Bratoszewsk</w:t>
      </w:r>
      <w:r w:rsidRPr="004B7E04">
        <w:rPr>
          <w:rFonts w:ascii="Arial" w:hAnsi="Arial" w:cs="Arial"/>
        </w:rPr>
        <w:t xml:space="preserve">i, L. </w:t>
      </w:r>
      <w:r w:rsidRPr="00AA773D">
        <w:rPr>
          <w:rFonts w:ascii="Arial" w:hAnsi="Arial" w:cs="Arial"/>
          <w:spacing w:val="32"/>
        </w:rPr>
        <w:t>Gardock</w:t>
      </w:r>
      <w:r w:rsidRPr="004B7E04">
        <w:rPr>
          <w:rFonts w:ascii="Arial" w:hAnsi="Arial" w:cs="Arial"/>
        </w:rPr>
        <w:t>i,</w:t>
      </w:r>
      <w:r>
        <w:rPr>
          <w:rFonts w:ascii="Arial" w:hAnsi="Arial" w:cs="Arial"/>
        </w:rPr>
        <w:t xml:space="preserve"> </w:t>
      </w:r>
      <w:r w:rsidRPr="004B7E04">
        <w:rPr>
          <w:rFonts w:ascii="Arial" w:hAnsi="Arial" w:cs="Arial"/>
        </w:rPr>
        <w:t xml:space="preserve">Z. </w:t>
      </w:r>
      <w:r w:rsidRPr="00AA773D">
        <w:rPr>
          <w:rFonts w:ascii="Arial" w:hAnsi="Arial" w:cs="Arial"/>
          <w:spacing w:val="32"/>
        </w:rPr>
        <w:t>Gostyńsk</w:t>
      </w:r>
      <w:r w:rsidRPr="004B7E04">
        <w:rPr>
          <w:rFonts w:ascii="Arial" w:hAnsi="Arial" w:cs="Arial"/>
        </w:rPr>
        <w:t>i,</w:t>
      </w:r>
      <w:r>
        <w:rPr>
          <w:rFonts w:ascii="Arial" w:hAnsi="Arial" w:cs="Arial"/>
        </w:rPr>
        <w:t xml:space="preserve"> </w:t>
      </w:r>
      <w:r w:rsidRPr="004B7E04">
        <w:rPr>
          <w:rFonts w:ascii="Arial" w:hAnsi="Arial" w:cs="Arial"/>
        </w:rPr>
        <w:t>S. M.</w:t>
      </w:r>
      <w:r>
        <w:rPr>
          <w:rFonts w:ascii="Arial" w:hAnsi="Arial" w:cs="Arial"/>
        </w:rPr>
        <w:t xml:space="preserve"> </w:t>
      </w:r>
      <w:r w:rsidRPr="00AA773D">
        <w:rPr>
          <w:rFonts w:ascii="Arial" w:hAnsi="Arial" w:cs="Arial"/>
          <w:spacing w:val="32"/>
        </w:rPr>
        <w:t>Prz</w:t>
      </w:r>
      <w:r w:rsidRPr="00AA773D">
        <w:rPr>
          <w:rFonts w:ascii="Arial" w:hAnsi="Arial" w:cs="Arial"/>
          <w:spacing w:val="32"/>
        </w:rPr>
        <w:t>y</w:t>
      </w:r>
      <w:r w:rsidRPr="00AA773D">
        <w:rPr>
          <w:rFonts w:ascii="Arial" w:hAnsi="Arial" w:cs="Arial"/>
          <w:spacing w:val="32"/>
        </w:rPr>
        <w:t>jemsk</w:t>
      </w:r>
      <w:r w:rsidRPr="004B7E04">
        <w:rPr>
          <w:rFonts w:ascii="Arial" w:hAnsi="Arial" w:cs="Arial"/>
        </w:rPr>
        <w:t>i,</w:t>
      </w:r>
      <w:r>
        <w:rPr>
          <w:rFonts w:ascii="Arial" w:hAnsi="Arial" w:cs="Arial"/>
        </w:rPr>
        <w:t xml:space="preserve"> </w:t>
      </w:r>
      <w:r w:rsidRPr="004B7E04">
        <w:rPr>
          <w:rFonts w:ascii="Arial" w:hAnsi="Arial" w:cs="Arial"/>
        </w:rPr>
        <w:t>R.</w:t>
      </w:r>
      <w:r>
        <w:rPr>
          <w:rFonts w:ascii="Arial" w:hAnsi="Arial" w:cs="Arial"/>
        </w:rPr>
        <w:t xml:space="preserve"> </w:t>
      </w:r>
      <w:r w:rsidRPr="004B7E04">
        <w:rPr>
          <w:rFonts w:ascii="Arial" w:hAnsi="Arial" w:cs="Arial"/>
        </w:rPr>
        <w:t xml:space="preserve">A. </w:t>
      </w:r>
      <w:r w:rsidRPr="00AA773D">
        <w:rPr>
          <w:rFonts w:ascii="Arial" w:hAnsi="Arial" w:cs="Arial"/>
          <w:spacing w:val="32"/>
        </w:rPr>
        <w:t>Stefańsk</w:t>
      </w:r>
      <w:r w:rsidRPr="004B7E04">
        <w:rPr>
          <w:rFonts w:ascii="Arial" w:hAnsi="Arial" w:cs="Arial"/>
        </w:rPr>
        <w:t xml:space="preserve">i, S. </w:t>
      </w:r>
      <w:r w:rsidRPr="00AA773D">
        <w:rPr>
          <w:rFonts w:ascii="Arial" w:hAnsi="Arial" w:cs="Arial"/>
          <w:spacing w:val="32"/>
        </w:rPr>
        <w:t>Zabłock</w:t>
      </w:r>
      <w:r w:rsidRPr="004B7E04">
        <w:rPr>
          <w:rFonts w:ascii="Arial" w:hAnsi="Arial" w:cs="Arial"/>
        </w:rPr>
        <w:t>i</w:t>
      </w:r>
      <w:r>
        <w:rPr>
          <w:rFonts w:ascii="Arial" w:hAnsi="Arial" w:cs="Arial"/>
        </w:rPr>
        <w:t>,</w:t>
      </w:r>
      <w:r w:rsidRPr="004B7E04">
        <w:rPr>
          <w:rFonts w:ascii="Arial" w:hAnsi="Arial" w:cs="Arial"/>
        </w:rPr>
        <w:t xml:space="preserve"> Kodeks postępowania karnego. Komentarz, t.</w:t>
      </w:r>
      <w:r>
        <w:rPr>
          <w:rFonts w:ascii="Arial" w:hAnsi="Arial" w:cs="Arial"/>
        </w:rPr>
        <w:t> </w:t>
      </w:r>
      <w:r w:rsidRPr="004B7E04">
        <w:rPr>
          <w:rFonts w:ascii="Arial" w:hAnsi="Arial" w:cs="Arial"/>
        </w:rPr>
        <w:t>II, Warszawa 2003, s. 39.</w:t>
      </w:r>
    </w:p>
  </w:footnote>
  <w:footnote w:id="17">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Zakończenie</w:t>
      </w:r>
      <w:r w:rsidRPr="004B7E04">
        <w:rPr>
          <w:rFonts w:ascii="Arial" w:hAnsi="Arial" w:cs="Arial"/>
        </w:rPr>
        <w:t xml:space="preserve"> postępowania przygotowawczego jako etap procesu ka</w:t>
      </w:r>
      <w:r w:rsidRPr="004B7E04">
        <w:rPr>
          <w:rFonts w:ascii="Arial" w:hAnsi="Arial" w:cs="Arial"/>
        </w:rPr>
        <w:t>r</w:t>
      </w:r>
      <w:r w:rsidRPr="004B7E04">
        <w:rPr>
          <w:rFonts w:ascii="Arial" w:hAnsi="Arial" w:cs="Arial"/>
        </w:rPr>
        <w:t>nego, Probl. Praw 1975, nr 6, s. 95</w:t>
      </w:r>
      <w:r>
        <w:rPr>
          <w:rFonts w:ascii="Arial" w:hAnsi="Arial" w:cs="Arial"/>
        </w:rPr>
        <w:t>;</w:t>
      </w:r>
      <w:r w:rsidRPr="004B7E04">
        <w:rPr>
          <w:rFonts w:ascii="Arial" w:hAnsi="Arial" w:cs="Arial"/>
        </w:rPr>
        <w:t xml:space="preserve"> 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16–17.</w:t>
      </w:r>
    </w:p>
  </w:footnote>
  <w:footnote w:id="18">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J. </w:t>
      </w:r>
      <w:r w:rsidRPr="00AA773D">
        <w:rPr>
          <w:rFonts w:ascii="Arial" w:hAnsi="Arial" w:cs="Arial"/>
          <w:spacing w:val="32"/>
        </w:rPr>
        <w:t>Bednarza</w:t>
      </w:r>
      <w:r w:rsidRPr="004B7E04">
        <w:rPr>
          <w:rFonts w:ascii="Arial" w:hAnsi="Arial" w:cs="Arial"/>
        </w:rPr>
        <w:t>k</w:t>
      </w:r>
      <w:r>
        <w:rPr>
          <w:rFonts w:ascii="Arial" w:hAnsi="Arial" w:cs="Arial"/>
        </w:rPr>
        <w:t xml:space="preserve">, (w:) </w:t>
      </w:r>
      <w:r w:rsidRPr="004B7E04">
        <w:rPr>
          <w:rFonts w:ascii="Arial" w:hAnsi="Arial" w:cs="Arial"/>
        </w:rPr>
        <w:t xml:space="preserve">J. </w:t>
      </w:r>
      <w:r w:rsidRPr="00BF039E">
        <w:rPr>
          <w:rFonts w:ascii="Arial" w:hAnsi="Arial" w:cs="Arial"/>
          <w:spacing w:val="32"/>
        </w:rPr>
        <w:t>Bafi</w:t>
      </w:r>
      <w:r w:rsidRPr="004B7E04">
        <w:rPr>
          <w:rFonts w:ascii="Arial" w:hAnsi="Arial" w:cs="Arial"/>
        </w:rPr>
        <w:t xml:space="preserve">a, J. </w:t>
      </w:r>
      <w:r w:rsidRPr="00AA773D">
        <w:rPr>
          <w:rFonts w:ascii="Arial" w:hAnsi="Arial" w:cs="Arial"/>
          <w:spacing w:val="32"/>
        </w:rPr>
        <w:t>Bednarza</w:t>
      </w:r>
      <w:r w:rsidRPr="004B7E04">
        <w:rPr>
          <w:rFonts w:ascii="Arial" w:hAnsi="Arial" w:cs="Arial"/>
        </w:rPr>
        <w:t xml:space="preserve">k, M. </w:t>
      </w:r>
      <w:r w:rsidRPr="00AA773D">
        <w:rPr>
          <w:rFonts w:ascii="Arial" w:hAnsi="Arial" w:cs="Arial"/>
          <w:spacing w:val="32"/>
        </w:rPr>
        <w:t>Flemmin</w:t>
      </w:r>
      <w:r w:rsidRPr="004B7E04">
        <w:rPr>
          <w:rFonts w:ascii="Arial" w:hAnsi="Arial" w:cs="Arial"/>
        </w:rPr>
        <w:t xml:space="preserve">g, S. </w:t>
      </w:r>
      <w:r w:rsidRPr="00AA773D">
        <w:rPr>
          <w:rFonts w:ascii="Arial" w:hAnsi="Arial" w:cs="Arial"/>
          <w:spacing w:val="32"/>
        </w:rPr>
        <w:t>Kalinowsk</w:t>
      </w:r>
      <w:r w:rsidRPr="004B7E04">
        <w:rPr>
          <w:rFonts w:ascii="Arial" w:hAnsi="Arial" w:cs="Arial"/>
        </w:rPr>
        <w:t>i, H.</w:t>
      </w:r>
      <w:r>
        <w:rPr>
          <w:rFonts w:ascii="Arial" w:hAnsi="Arial" w:cs="Arial"/>
        </w:rPr>
        <w:t> </w:t>
      </w:r>
      <w:r w:rsidRPr="00AA773D">
        <w:rPr>
          <w:rFonts w:ascii="Arial" w:hAnsi="Arial" w:cs="Arial"/>
          <w:spacing w:val="32"/>
        </w:rPr>
        <w:t>Kempist</w:t>
      </w:r>
      <w:r>
        <w:rPr>
          <w:rFonts w:ascii="Arial" w:hAnsi="Arial" w:cs="Arial"/>
        </w:rPr>
        <w:t>y, M.</w:t>
      </w:r>
      <w:r w:rsidRPr="004B7E04">
        <w:rPr>
          <w:rFonts w:ascii="Arial" w:hAnsi="Arial" w:cs="Arial"/>
        </w:rPr>
        <w:t xml:space="preserve"> </w:t>
      </w:r>
      <w:r w:rsidRPr="00AA773D">
        <w:rPr>
          <w:rFonts w:ascii="Arial" w:hAnsi="Arial" w:cs="Arial"/>
          <w:spacing w:val="32"/>
        </w:rPr>
        <w:t>Siewiersk</w:t>
      </w:r>
      <w:r w:rsidRPr="004B7E04">
        <w:rPr>
          <w:rFonts w:ascii="Arial" w:hAnsi="Arial" w:cs="Arial"/>
        </w:rPr>
        <w:t>i</w:t>
      </w:r>
      <w:r>
        <w:rPr>
          <w:rFonts w:ascii="Arial" w:hAnsi="Arial" w:cs="Arial"/>
        </w:rPr>
        <w:t>,</w:t>
      </w:r>
      <w:r w:rsidRPr="004B7E04">
        <w:rPr>
          <w:rFonts w:ascii="Arial" w:hAnsi="Arial" w:cs="Arial"/>
        </w:rPr>
        <w:t xml:space="preserve"> Kodeks postępowania karnego. Komentarz, Warszawa 1971, s. 328.</w:t>
      </w:r>
    </w:p>
  </w:footnote>
  <w:footnote w:id="19">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Zakończenie</w:t>
      </w:r>
      <w:r>
        <w:rPr>
          <w:rFonts w:ascii="Arial" w:hAnsi="Arial" w:cs="Arial"/>
          <w:iCs/>
        </w:rPr>
        <w:t xml:space="preserve"> postępowania…,</w:t>
      </w:r>
      <w:r w:rsidRPr="004B7E04">
        <w:rPr>
          <w:rFonts w:ascii="Arial" w:hAnsi="Arial" w:cs="Arial"/>
        </w:rPr>
        <w:t xml:space="preserve"> s. 96.</w:t>
      </w:r>
    </w:p>
  </w:footnote>
  <w:footnote w:id="20">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R. </w:t>
      </w:r>
      <w:r w:rsidRPr="00AA773D">
        <w:rPr>
          <w:rFonts w:ascii="Arial" w:hAnsi="Arial" w:cs="Arial"/>
          <w:spacing w:val="32"/>
        </w:rPr>
        <w:t>Łyczywe</w:t>
      </w:r>
      <w:r w:rsidRPr="004B7E04">
        <w:rPr>
          <w:rFonts w:ascii="Arial" w:hAnsi="Arial" w:cs="Arial"/>
        </w:rPr>
        <w:t>k</w:t>
      </w:r>
      <w:r>
        <w:rPr>
          <w:rFonts w:ascii="Arial" w:hAnsi="Arial" w:cs="Arial"/>
        </w:rPr>
        <w:t>,</w:t>
      </w:r>
      <w:r w:rsidRPr="004B7E04">
        <w:rPr>
          <w:rFonts w:ascii="Arial" w:hAnsi="Arial" w:cs="Arial"/>
          <w:iCs/>
        </w:rPr>
        <w:t xml:space="preserve"> Prawo oskarżonego do znajomości zarzutów, materiałów i akt sprawy w</w:t>
      </w:r>
      <w:r>
        <w:rPr>
          <w:rFonts w:ascii="Arial" w:hAnsi="Arial" w:cs="Arial"/>
          <w:iCs/>
        </w:rPr>
        <w:t> </w:t>
      </w:r>
      <w:r w:rsidRPr="004B7E04">
        <w:rPr>
          <w:rFonts w:ascii="Arial" w:hAnsi="Arial" w:cs="Arial"/>
          <w:iCs/>
        </w:rPr>
        <w:t>świetle nowego k.p.k</w:t>
      </w:r>
      <w:r w:rsidRPr="004B7E04">
        <w:rPr>
          <w:rFonts w:ascii="Arial" w:hAnsi="Arial" w:cs="Arial"/>
        </w:rPr>
        <w:t>., NP 1969, nr 7–8, s. 1160</w:t>
      </w:r>
      <w:r>
        <w:rPr>
          <w:rFonts w:ascii="Arial" w:hAnsi="Arial" w:cs="Arial"/>
        </w:rPr>
        <w:t>;</w:t>
      </w:r>
      <w:r w:rsidRPr="004B7E04">
        <w:rPr>
          <w:rFonts w:ascii="Arial" w:hAnsi="Arial" w:cs="Arial"/>
        </w:rPr>
        <w:t xml:space="preserve"> K. T. </w:t>
      </w:r>
      <w:r w:rsidRPr="00AA773D">
        <w:rPr>
          <w:rFonts w:ascii="Arial" w:hAnsi="Arial" w:cs="Arial"/>
          <w:spacing w:val="32"/>
        </w:rPr>
        <w:t>Boratyńsk</w:t>
      </w:r>
      <w:r w:rsidRPr="004B7E04">
        <w:rPr>
          <w:rFonts w:ascii="Arial" w:hAnsi="Arial" w:cs="Arial"/>
        </w:rPr>
        <w:t>a</w:t>
      </w:r>
      <w:r>
        <w:rPr>
          <w:rFonts w:ascii="Arial" w:hAnsi="Arial" w:cs="Arial"/>
        </w:rPr>
        <w:t xml:space="preserve">, (w:) </w:t>
      </w:r>
      <w:r w:rsidRPr="004B7E04">
        <w:rPr>
          <w:rFonts w:ascii="Arial" w:hAnsi="Arial" w:cs="Arial"/>
        </w:rPr>
        <w:t xml:space="preserve">K. T. </w:t>
      </w:r>
      <w:r w:rsidRPr="00AA773D">
        <w:rPr>
          <w:rFonts w:ascii="Arial" w:hAnsi="Arial" w:cs="Arial"/>
          <w:spacing w:val="32"/>
        </w:rPr>
        <w:t>Bor</w:t>
      </w:r>
      <w:r w:rsidRPr="00AA773D">
        <w:rPr>
          <w:rFonts w:ascii="Arial" w:hAnsi="Arial" w:cs="Arial"/>
          <w:spacing w:val="32"/>
        </w:rPr>
        <w:t>a</w:t>
      </w:r>
      <w:r w:rsidRPr="00AA773D">
        <w:rPr>
          <w:rFonts w:ascii="Arial" w:hAnsi="Arial" w:cs="Arial"/>
          <w:spacing w:val="32"/>
        </w:rPr>
        <w:t>tyńsk</w:t>
      </w:r>
      <w:r w:rsidRPr="004B7E04">
        <w:rPr>
          <w:rFonts w:ascii="Arial" w:hAnsi="Arial" w:cs="Arial"/>
        </w:rPr>
        <w:t xml:space="preserve">a, A. </w:t>
      </w:r>
      <w:r w:rsidRPr="00AA773D">
        <w:rPr>
          <w:rFonts w:ascii="Arial" w:hAnsi="Arial" w:cs="Arial"/>
          <w:spacing w:val="32"/>
        </w:rPr>
        <w:t>Górsk</w:t>
      </w:r>
      <w:r w:rsidRPr="004B7E04">
        <w:rPr>
          <w:rFonts w:ascii="Arial" w:hAnsi="Arial" w:cs="Arial"/>
        </w:rPr>
        <w:t xml:space="preserve">i, A. </w:t>
      </w:r>
      <w:r w:rsidRPr="00AA773D">
        <w:rPr>
          <w:rFonts w:ascii="Arial" w:hAnsi="Arial" w:cs="Arial"/>
          <w:spacing w:val="32"/>
        </w:rPr>
        <w:t>Sakowic</w:t>
      </w:r>
      <w:r w:rsidRPr="004B7E04">
        <w:rPr>
          <w:rFonts w:ascii="Arial" w:hAnsi="Arial" w:cs="Arial"/>
        </w:rPr>
        <w:t xml:space="preserve">z, A. </w:t>
      </w:r>
      <w:r w:rsidRPr="00AA773D">
        <w:rPr>
          <w:rFonts w:ascii="Arial" w:hAnsi="Arial" w:cs="Arial"/>
          <w:spacing w:val="32"/>
        </w:rPr>
        <w:t>Ważn</w:t>
      </w:r>
      <w:r w:rsidRPr="004B7E04">
        <w:rPr>
          <w:rFonts w:ascii="Arial" w:hAnsi="Arial" w:cs="Arial"/>
        </w:rPr>
        <w:t>y</w:t>
      </w:r>
      <w:r>
        <w:rPr>
          <w:rFonts w:ascii="Arial" w:hAnsi="Arial" w:cs="Arial"/>
        </w:rPr>
        <w:t>,</w:t>
      </w:r>
      <w:r w:rsidRPr="004B7E04">
        <w:rPr>
          <w:rFonts w:ascii="Arial" w:hAnsi="Arial" w:cs="Arial"/>
        </w:rPr>
        <w:t xml:space="preserve"> Kodeks postępowania karnego. Kome</w:t>
      </w:r>
      <w:r w:rsidRPr="004B7E04">
        <w:rPr>
          <w:rFonts w:ascii="Arial" w:hAnsi="Arial" w:cs="Arial"/>
        </w:rPr>
        <w:t>n</w:t>
      </w:r>
      <w:r w:rsidRPr="004B7E04">
        <w:rPr>
          <w:rFonts w:ascii="Arial" w:hAnsi="Arial" w:cs="Arial"/>
        </w:rPr>
        <w:t>tarz, Wa</w:t>
      </w:r>
      <w:r w:rsidRPr="004B7E04">
        <w:rPr>
          <w:rFonts w:ascii="Arial" w:hAnsi="Arial" w:cs="Arial"/>
        </w:rPr>
        <w:t>r</w:t>
      </w:r>
      <w:r w:rsidRPr="004B7E04">
        <w:rPr>
          <w:rFonts w:ascii="Arial" w:hAnsi="Arial" w:cs="Arial"/>
        </w:rPr>
        <w:t>szawa 2014</w:t>
      </w:r>
      <w:r>
        <w:rPr>
          <w:rFonts w:ascii="Arial" w:hAnsi="Arial" w:cs="Arial"/>
        </w:rPr>
        <w:t xml:space="preserve">, s. </w:t>
      </w:r>
      <w:r w:rsidRPr="004B7E04">
        <w:rPr>
          <w:rFonts w:ascii="Arial" w:hAnsi="Arial" w:cs="Arial"/>
        </w:rPr>
        <w:t>571.</w:t>
      </w:r>
    </w:p>
  </w:footnote>
  <w:footnote w:id="21">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P. </w:t>
      </w:r>
      <w:r w:rsidRPr="00AA773D">
        <w:rPr>
          <w:rFonts w:ascii="Arial" w:hAnsi="Arial" w:cs="Arial"/>
          <w:spacing w:val="32"/>
        </w:rPr>
        <w:t>Hofmańsk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w:t>
      </w:r>
      <w:r w:rsidRPr="004B7E04">
        <w:rPr>
          <w:rFonts w:ascii="Arial" w:hAnsi="Arial" w:cs="Arial"/>
        </w:rPr>
        <w:t>t. II, s.</w:t>
      </w:r>
      <w:r>
        <w:rPr>
          <w:rFonts w:ascii="Arial" w:hAnsi="Arial" w:cs="Arial"/>
        </w:rPr>
        <w:t xml:space="preserve"> </w:t>
      </w:r>
      <w:r w:rsidRPr="004B7E04">
        <w:rPr>
          <w:rFonts w:ascii="Arial" w:hAnsi="Arial" w:cs="Arial"/>
        </w:rPr>
        <w:t>123</w:t>
      </w:r>
      <w:r>
        <w:rPr>
          <w:rFonts w:ascii="Arial" w:hAnsi="Arial" w:cs="Arial"/>
        </w:rPr>
        <w:t>;</w:t>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Zamknięcie postępowania przygotowawczego, NP 1974, nr 4,</w:t>
      </w:r>
      <w:r>
        <w:rPr>
          <w:rFonts w:ascii="Arial" w:hAnsi="Arial" w:cs="Arial"/>
        </w:rPr>
        <w:t xml:space="preserve"> </w:t>
      </w:r>
      <w:r w:rsidRPr="004B7E04">
        <w:rPr>
          <w:rFonts w:ascii="Arial" w:hAnsi="Arial" w:cs="Arial"/>
        </w:rPr>
        <w:t xml:space="preserve">s. 424. </w:t>
      </w:r>
    </w:p>
  </w:footnote>
  <w:footnote w:id="22">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428.</w:t>
      </w:r>
    </w:p>
  </w:footnote>
  <w:footnote w:id="23">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Pr>
          <w:rFonts w:ascii="Arial" w:hAnsi="Arial" w:cs="Arial"/>
        </w:rPr>
        <w:t xml:space="preserve"> </w:t>
      </w:r>
      <w:r w:rsidRPr="004B7E04">
        <w:rPr>
          <w:rFonts w:ascii="Arial" w:hAnsi="Arial" w:cs="Arial"/>
        </w:rPr>
        <w:t>www.pg.gov.pl</w:t>
      </w:r>
      <w:r>
        <w:rPr>
          <w:rFonts w:ascii="Arial" w:hAnsi="Arial" w:cs="Arial"/>
        </w:rPr>
        <w:t>.</w:t>
      </w:r>
    </w:p>
  </w:footnote>
  <w:footnote w:id="24">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Praktyczny słownik współczesnej polszczyzny</w:t>
      </w:r>
      <w:r>
        <w:rPr>
          <w:rFonts w:ascii="Arial" w:hAnsi="Arial" w:cs="Arial"/>
        </w:rPr>
        <w:t>, p</w:t>
      </w:r>
      <w:r w:rsidRPr="004B7E04">
        <w:rPr>
          <w:rFonts w:ascii="Arial" w:hAnsi="Arial" w:cs="Arial"/>
        </w:rPr>
        <w:t xml:space="preserve">od red. H. </w:t>
      </w:r>
      <w:r w:rsidRPr="00AA773D">
        <w:rPr>
          <w:rFonts w:ascii="Arial" w:hAnsi="Arial" w:cs="Arial"/>
          <w:spacing w:val="32"/>
        </w:rPr>
        <w:t>Zgółkowe</w:t>
      </w:r>
      <w:r w:rsidRPr="004B7E04">
        <w:rPr>
          <w:rFonts w:ascii="Arial" w:hAnsi="Arial" w:cs="Arial"/>
        </w:rPr>
        <w:t>j, t.</w:t>
      </w:r>
      <w:r>
        <w:rPr>
          <w:rFonts w:ascii="Arial" w:hAnsi="Arial" w:cs="Arial"/>
        </w:rPr>
        <w:t xml:space="preserve"> </w:t>
      </w:r>
      <w:r w:rsidRPr="004B7E04">
        <w:rPr>
          <w:rFonts w:ascii="Arial" w:hAnsi="Arial" w:cs="Arial"/>
        </w:rPr>
        <w:t>48, Poznań 2004,</w:t>
      </w:r>
      <w:r>
        <w:rPr>
          <w:rFonts w:ascii="Arial" w:hAnsi="Arial" w:cs="Arial"/>
        </w:rPr>
        <w:t xml:space="preserve"> </w:t>
      </w:r>
      <w:r w:rsidRPr="004B7E04">
        <w:rPr>
          <w:rFonts w:ascii="Arial" w:hAnsi="Arial" w:cs="Arial"/>
        </w:rPr>
        <w:t>s. 327.</w:t>
      </w:r>
    </w:p>
  </w:footnote>
  <w:footnote w:id="25">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Praktyczny słownik współczesnej polszczyzny</w:t>
      </w:r>
      <w:r>
        <w:rPr>
          <w:rFonts w:ascii="Arial" w:hAnsi="Arial" w:cs="Arial"/>
        </w:rPr>
        <w:t>, pod red</w:t>
      </w:r>
      <w:r w:rsidRPr="004B7E04">
        <w:rPr>
          <w:rFonts w:ascii="Arial" w:hAnsi="Arial" w:cs="Arial"/>
        </w:rPr>
        <w:t xml:space="preserve">. H. </w:t>
      </w:r>
      <w:r w:rsidRPr="00AA773D">
        <w:rPr>
          <w:rFonts w:ascii="Arial" w:hAnsi="Arial" w:cs="Arial"/>
          <w:spacing w:val="32"/>
        </w:rPr>
        <w:t>Zgółkowe</w:t>
      </w:r>
      <w:r w:rsidRPr="004B7E04">
        <w:rPr>
          <w:rFonts w:ascii="Arial" w:hAnsi="Arial" w:cs="Arial"/>
        </w:rPr>
        <w:t>j, t.</w:t>
      </w:r>
      <w:r>
        <w:rPr>
          <w:rFonts w:ascii="Arial" w:hAnsi="Arial" w:cs="Arial"/>
        </w:rPr>
        <w:t xml:space="preserve"> </w:t>
      </w:r>
      <w:r w:rsidRPr="004B7E04">
        <w:rPr>
          <w:rFonts w:ascii="Arial" w:hAnsi="Arial" w:cs="Arial"/>
        </w:rPr>
        <w:t>33, Poznań 2001,</w:t>
      </w:r>
      <w:r>
        <w:rPr>
          <w:rFonts w:ascii="Arial" w:hAnsi="Arial" w:cs="Arial"/>
        </w:rPr>
        <w:t xml:space="preserve"> </w:t>
      </w:r>
      <w:r w:rsidRPr="004B7E04">
        <w:rPr>
          <w:rFonts w:ascii="Arial" w:hAnsi="Arial" w:cs="Arial"/>
        </w:rPr>
        <w:t>s</w:t>
      </w:r>
      <w:r w:rsidR="00BF039E">
        <w:rPr>
          <w:rFonts w:ascii="Arial" w:hAnsi="Arial" w:cs="Arial"/>
        </w:rPr>
        <w:t>.</w:t>
      </w:r>
      <w:r w:rsidRPr="004B7E04">
        <w:rPr>
          <w:rFonts w:ascii="Arial" w:hAnsi="Arial" w:cs="Arial"/>
        </w:rPr>
        <w:t xml:space="preserve"> 273.</w:t>
      </w:r>
    </w:p>
  </w:footnote>
  <w:footnote w:id="26">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sidRPr="004B7E04">
        <w:rPr>
          <w:rFonts w:ascii="Arial" w:hAnsi="Arial" w:cs="Arial"/>
        </w:rPr>
        <w:t>...</w:t>
      </w:r>
      <w:r>
        <w:rPr>
          <w:rFonts w:ascii="Arial" w:hAnsi="Arial" w:cs="Arial"/>
        </w:rPr>
        <w:t xml:space="preserve">, </w:t>
      </w:r>
      <w:r w:rsidRPr="004B7E04">
        <w:rPr>
          <w:rFonts w:ascii="Arial" w:hAnsi="Arial" w:cs="Arial"/>
        </w:rPr>
        <w:t>s. 427.</w:t>
      </w:r>
    </w:p>
  </w:footnote>
  <w:footnote w:id="27">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Postanowienie SA</w:t>
      </w:r>
      <w:r>
        <w:rPr>
          <w:rFonts w:ascii="Arial" w:hAnsi="Arial" w:cs="Arial"/>
        </w:rPr>
        <w:t xml:space="preserve"> </w:t>
      </w:r>
      <w:r w:rsidRPr="004B7E04">
        <w:rPr>
          <w:rFonts w:ascii="Arial" w:hAnsi="Arial" w:cs="Arial"/>
        </w:rPr>
        <w:t xml:space="preserve">w Szczecinie z dnia 9 sierpnia 2006 </w:t>
      </w:r>
      <w:r>
        <w:rPr>
          <w:rFonts w:ascii="Arial" w:hAnsi="Arial" w:cs="Arial"/>
        </w:rPr>
        <w:t>r., sygn. I</w:t>
      </w:r>
      <w:r w:rsidRPr="004B7E04">
        <w:rPr>
          <w:rFonts w:ascii="Arial" w:hAnsi="Arial" w:cs="Arial"/>
        </w:rPr>
        <w:t>I AKz 258/06, Legalis nr</w:t>
      </w:r>
      <w:r>
        <w:rPr>
          <w:rFonts w:ascii="Arial" w:hAnsi="Arial" w:cs="Arial"/>
        </w:rPr>
        <w:t> </w:t>
      </w:r>
      <w:r w:rsidRPr="004B7E04">
        <w:rPr>
          <w:rFonts w:ascii="Arial" w:hAnsi="Arial" w:cs="Arial"/>
        </w:rPr>
        <w:t>298556.</w:t>
      </w:r>
    </w:p>
  </w:footnote>
  <w:footnote w:id="28">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144</w:t>
      </w:r>
      <w:r>
        <w:rPr>
          <w:rFonts w:ascii="Arial" w:hAnsi="Arial" w:cs="Arial"/>
        </w:rPr>
        <w:t xml:space="preserve">; </w:t>
      </w:r>
      <w:r w:rsidRPr="00AA773D">
        <w:rPr>
          <w:rFonts w:ascii="Arial" w:hAnsi="Arial" w:cs="Arial"/>
          <w:spacing w:val="32"/>
        </w:rPr>
        <w:t>tenż</w:t>
      </w:r>
      <w:r>
        <w:rPr>
          <w:rFonts w:ascii="Arial" w:hAnsi="Arial" w:cs="Arial"/>
        </w:rPr>
        <w:t xml:space="preserve">e, </w:t>
      </w:r>
      <w:r w:rsidRPr="004B7E04">
        <w:rPr>
          <w:rFonts w:ascii="Arial" w:hAnsi="Arial" w:cs="Arial"/>
        </w:rPr>
        <w:t>Kodeks postępowania karnego. Kome</w:t>
      </w:r>
      <w:r w:rsidRPr="004B7E04">
        <w:rPr>
          <w:rFonts w:ascii="Arial" w:hAnsi="Arial" w:cs="Arial"/>
        </w:rPr>
        <w:t>n</w:t>
      </w:r>
      <w:r w:rsidRPr="004B7E04">
        <w:rPr>
          <w:rFonts w:ascii="Arial" w:hAnsi="Arial" w:cs="Arial"/>
        </w:rPr>
        <w:t>tarz, Warszawa 2012</w:t>
      </w:r>
      <w:r>
        <w:rPr>
          <w:rFonts w:ascii="Arial" w:hAnsi="Arial" w:cs="Arial"/>
        </w:rPr>
        <w:t xml:space="preserve">, s. </w:t>
      </w:r>
      <w:r w:rsidRPr="004B7E04">
        <w:rPr>
          <w:rFonts w:ascii="Arial" w:hAnsi="Arial" w:cs="Arial"/>
        </w:rPr>
        <w:t>380</w:t>
      </w:r>
      <w:r>
        <w:rPr>
          <w:rFonts w:ascii="Arial" w:hAnsi="Arial" w:cs="Arial"/>
        </w:rPr>
        <w:t>;</w:t>
      </w:r>
      <w:r w:rsidRPr="004B7E04">
        <w:rPr>
          <w:rFonts w:ascii="Arial" w:hAnsi="Arial" w:cs="Arial"/>
        </w:rPr>
        <w:t xml:space="preserve"> T. </w:t>
      </w:r>
      <w:r w:rsidRPr="00AA773D">
        <w:rPr>
          <w:rFonts w:ascii="Arial" w:hAnsi="Arial" w:cs="Arial"/>
          <w:spacing w:val="32"/>
        </w:rPr>
        <w:t>Grzegorczy</w:t>
      </w:r>
      <w:r w:rsidRPr="004B7E04">
        <w:rPr>
          <w:rFonts w:ascii="Arial" w:hAnsi="Arial" w:cs="Arial"/>
        </w:rPr>
        <w:t>k</w:t>
      </w:r>
      <w:r>
        <w:rPr>
          <w:rFonts w:ascii="Arial" w:hAnsi="Arial" w:cs="Arial"/>
        </w:rPr>
        <w:t>,</w:t>
      </w:r>
      <w:r w:rsidRPr="004B7E04">
        <w:rPr>
          <w:rFonts w:ascii="Arial" w:hAnsi="Arial" w:cs="Arial"/>
        </w:rPr>
        <w:t xml:space="preserve"> Kodeks postępowania karnego. Kome</w:t>
      </w:r>
      <w:r w:rsidRPr="004B7E04">
        <w:rPr>
          <w:rFonts w:ascii="Arial" w:hAnsi="Arial" w:cs="Arial"/>
        </w:rPr>
        <w:t>n</w:t>
      </w:r>
      <w:r w:rsidRPr="004B7E04">
        <w:rPr>
          <w:rFonts w:ascii="Arial" w:hAnsi="Arial" w:cs="Arial"/>
        </w:rPr>
        <w:t>tarz, Warszawa 2008, s. 682</w:t>
      </w:r>
      <w:r>
        <w:rPr>
          <w:rFonts w:ascii="Arial" w:hAnsi="Arial" w:cs="Arial"/>
        </w:rPr>
        <w:t>;</w:t>
      </w:r>
      <w:r w:rsidRPr="004B7E04">
        <w:rPr>
          <w:rFonts w:ascii="Arial" w:hAnsi="Arial" w:cs="Arial"/>
        </w:rPr>
        <w:t xml:space="preserve"> J. </w:t>
      </w:r>
      <w:r w:rsidRPr="00AA773D">
        <w:rPr>
          <w:rFonts w:ascii="Arial" w:hAnsi="Arial" w:cs="Arial"/>
          <w:spacing w:val="32"/>
        </w:rPr>
        <w:t>Grajewsk</w:t>
      </w:r>
      <w:r w:rsidRPr="004B7E04">
        <w:rPr>
          <w:rFonts w:ascii="Arial" w:hAnsi="Arial" w:cs="Arial"/>
        </w:rPr>
        <w:t xml:space="preserve">i, S. </w:t>
      </w:r>
      <w:r w:rsidRPr="00AA773D">
        <w:rPr>
          <w:rFonts w:ascii="Arial" w:hAnsi="Arial" w:cs="Arial"/>
          <w:spacing w:val="32"/>
        </w:rPr>
        <w:t>Steinbor</w:t>
      </w:r>
      <w:r w:rsidRPr="004B7E04">
        <w:rPr>
          <w:rFonts w:ascii="Arial" w:hAnsi="Arial" w:cs="Arial"/>
        </w:rPr>
        <w:t>n</w:t>
      </w:r>
      <w:r>
        <w:rPr>
          <w:rFonts w:ascii="Arial" w:hAnsi="Arial" w:cs="Arial"/>
        </w:rPr>
        <w:t xml:space="preserve">, (w:) </w:t>
      </w:r>
      <w:r w:rsidRPr="004B7E04">
        <w:rPr>
          <w:rFonts w:ascii="Arial" w:hAnsi="Arial" w:cs="Arial"/>
        </w:rPr>
        <w:t xml:space="preserve">J. </w:t>
      </w:r>
      <w:r w:rsidRPr="00AA773D">
        <w:rPr>
          <w:rFonts w:ascii="Arial" w:hAnsi="Arial" w:cs="Arial"/>
          <w:spacing w:val="32"/>
        </w:rPr>
        <w:t>Grajewsk</w:t>
      </w:r>
      <w:r w:rsidRPr="004B7E04">
        <w:rPr>
          <w:rFonts w:ascii="Arial" w:hAnsi="Arial" w:cs="Arial"/>
        </w:rPr>
        <w:t xml:space="preserve">i, L. K. </w:t>
      </w:r>
      <w:r w:rsidRPr="00AA773D">
        <w:rPr>
          <w:rFonts w:ascii="Arial" w:hAnsi="Arial" w:cs="Arial"/>
          <w:spacing w:val="32"/>
        </w:rPr>
        <w:t>Paprzyck</w:t>
      </w:r>
      <w:r w:rsidRPr="004B7E04">
        <w:rPr>
          <w:rFonts w:ascii="Arial" w:hAnsi="Arial" w:cs="Arial"/>
        </w:rPr>
        <w:t xml:space="preserve">i, S. </w:t>
      </w:r>
      <w:r w:rsidRPr="00AA773D">
        <w:rPr>
          <w:rFonts w:ascii="Arial" w:hAnsi="Arial" w:cs="Arial"/>
          <w:spacing w:val="32"/>
        </w:rPr>
        <w:t>Steinbor</w:t>
      </w:r>
      <w:r w:rsidRPr="004B7E04">
        <w:rPr>
          <w:rFonts w:ascii="Arial" w:hAnsi="Arial" w:cs="Arial"/>
        </w:rPr>
        <w:t>n</w:t>
      </w:r>
      <w:r>
        <w:rPr>
          <w:rFonts w:ascii="Arial" w:hAnsi="Arial" w:cs="Arial"/>
        </w:rPr>
        <w:t>,</w:t>
      </w:r>
      <w:r w:rsidRPr="004B7E04">
        <w:rPr>
          <w:rFonts w:ascii="Arial" w:hAnsi="Arial" w:cs="Arial"/>
        </w:rPr>
        <w:t xml:space="preserve"> Kodeks postępowania karnego. Komentarz, t. I, Warszawa 2013, s.</w:t>
      </w:r>
      <w:r>
        <w:rPr>
          <w:rFonts w:ascii="Arial" w:hAnsi="Arial" w:cs="Arial"/>
        </w:rPr>
        <w:t xml:space="preserve"> </w:t>
      </w:r>
      <w:r w:rsidRPr="004B7E04">
        <w:rPr>
          <w:rFonts w:ascii="Arial" w:hAnsi="Arial" w:cs="Arial"/>
        </w:rPr>
        <w:t>941</w:t>
      </w:r>
      <w:r>
        <w:rPr>
          <w:rFonts w:ascii="Arial" w:hAnsi="Arial" w:cs="Arial"/>
        </w:rPr>
        <w:t>;</w:t>
      </w:r>
      <w:r w:rsidRPr="004B7E04">
        <w:rPr>
          <w:rFonts w:ascii="Arial" w:hAnsi="Arial" w:cs="Arial"/>
        </w:rPr>
        <w:t xml:space="preserve"> K. </w:t>
      </w:r>
      <w:r w:rsidRPr="00AA773D">
        <w:rPr>
          <w:rFonts w:ascii="Arial" w:hAnsi="Arial" w:cs="Arial"/>
          <w:spacing w:val="32"/>
        </w:rPr>
        <w:t>Nitkowsk</w:t>
      </w:r>
      <w:r w:rsidRPr="004B7E04">
        <w:rPr>
          <w:rFonts w:ascii="Arial" w:hAnsi="Arial" w:cs="Arial"/>
        </w:rPr>
        <w:t>i</w:t>
      </w:r>
      <w:r>
        <w:rPr>
          <w:rFonts w:ascii="Arial" w:hAnsi="Arial" w:cs="Arial"/>
        </w:rPr>
        <w:t>,</w:t>
      </w:r>
      <w:r w:rsidRPr="004B7E04">
        <w:rPr>
          <w:rFonts w:ascii="Arial" w:hAnsi="Arial" w:cs="Arial"/>
        </w:rPr>
        <w:t xml:space="preserve"> Rola Policji</w:t>
      </w:r>
      <w:r>
        <w:rPr>
          <w:rFonts w:ascii="Arial" w:hAnsi="Arial" w:cs="Arial"/>
        </w:rPr>
        <w:t xml:space="preserve">…, s. </w:t>
      </w:r>
      <w:r w:rsidRPr="004B7E04">
        <w:rPr>
          <w:rFonts w:ascii="Arial" w:hAnsi="Arial" w:cs="Arial"/>
        </w:rPr>
        <w:t>252</w:t>
      </w:r>
      <w:r>
        <w:rPr>
          <w:rFonts w:ascii="Arial" w:hAnsi="Arial" w:cs="Arial"/>
        </w:rPr>
        <w:t>;</w:t>
      </w:r>
      <w:r w:rsidRPr="004B7E04">
        <w:rPr>
          <w:rFonts w:ascii="Arial" w:hAnsi="Arial" w:cs="Arial"/>
        </w:rPr>
        <w:t xml:space="preserve"> wyrok SN z dnia 21 sierpnia 1980 </w:t>
      </w:r>
      <w:r>
        <w:rPr>
          <w:rFonts w:ascii="Arial" w:hAnsi="Arial" w:cs="Arial"/>
        </w:rPr>
        <w:t>r., sygn. I</w:t>
      </w:r>
      <w:r w:rsidRPr="004B7E04">
        <w:rPr>
          <w:rFonts w:ascii="Arial" w:hAnsi="Arial" w:cs="Arial"/>
        </w:rPr>
        <w:t>I KR 251/80,</w:t>
      </w:r>
      <w:r w:rsidRPr="004B7E04">
        <w:rPr>
          <w:rFonts w:ascii="Arial" w:hAnsi="Arial" w:cs="Arial"/>
          <w:iCs/>
        </w:rPr>
        <w:t xml:space="preserve"> OSP 1981, nr 6, poz. 108</w:t>
      </w:r>
      <w:r>
        <w:rPr>
          <w:rFonts w:ascii="Arial" w:hAnsi="Arial" w:cs="Arial"/>
          <w:iCs/>
        </w:rPr>
        <w:t>,</w:t>
      </w:r>
      <w:r w:rsidRPr="004B7E04">
        <w:rPr>
          <w:rFonts w:ascii="Arial" w:hAnsi="Arial" w:cs="Arial"/>
          <w:iCs/>
        </w:rPr>
        <w:t xml:space="preserve"> </w:t>
      </w:r>
      <w:r>
        <w:rPr>
          <w:rFonts w:ascii="Arial" w:hAnsi="Arial" w:cs="Arial"/>
          <w:iCs/>
        </w:rPr>
        <w:t xml:space="preserve">z </w:t>
      </w:r>
      <w:r w:rsidRPr="004B7E04">
        <w:rPr>
          <w:rFonts w:ascii="Arial" w:hAnsi="Arial" w:cs="Arial"/>
          <w:iCs/>
        </w:rPr>
        <w:t xml:space="preserve">uwagami M. </w:t>
      </w:r>
      <w:r w:rsidRPr="00AA773D">
        <w:rPr>
          <w:rFonts w:ascii="Arial" w:hAnsi="Arial" w:cs="Arial"/>
          <w:iCs/>
          <w:spacing w:val="32"/>
        </w:rPr>
        <w:t>Cieślak</w:t>
      </w:r>
      <w:r w:rsidRPr="004B7E04">
        <w:rPr>
          <w:rFonts w:ascii="Arial" w:hAnsi="Arial" w:cs="Arial"/>
          <w:iCs/>
        </w:rPr>
        <w:t xml:space="preserve">a, Z. </w:t>
      </w:r>
      <w:r w:rsidRPr="00AA773D">
        <w:rPr>
          <w:rFonts w:ascii="Arial" w:hAnsi="Arial" w:cs="Arial"/>
          <w:iCs/>
          <w:spacing w:val="32"/>
        </w:rPr>
        <w:t>Dod</w:t>
      </w:r>
      <w:r w:rsidRPr="004B7E04">
        <w:rPr>
          <w:rFonts w:ascii="Arial" w:hAnsi="Arial" w:cs="Arial"/>
          <w:iCs/>
        </w:rPr>
        <w:t>y</w:t>
      </w:r>
      <w:r>
        <w:rPr>
          <w:rFonts w:ascii="Arial" w:hAnsi="Arial" w:cs="Arial"/>
          <w:iCs/>
        </w:rPr>
        <w:t>,</w:t>
      </w:r>
      <w:r w:rsidRPr="004B7E04">
        <w:rPr>
          <w:rFonts w:ascii="Arial" w:hAnsi="Arial" w:cs="Arial"/>
          <w:iCs/>
        </w:rPr>
        <w:t xml:space="preserve"> Kierunki</w:t>
      </w:r>
      <w:r>
        <w:rPr>
          <w:rFonts w:ascii="Arial" w:hAnsi="Arial" w:cs="Arial"/>
          <w:iCs/>
        </w:rPr>
        <w:t xml:space="preserve"> o</w:t>
      </w:r>
      <w:r w:rsidRPr="004B7E04">
        <w:rPr>
          <w:rFonts w:ascii="Arial" w:hAnsi="Arial" w:cs="Arial"/>
          <w:iCs/>
        </w:rPr>
        <w:t>rzecznictwa Sądu Najwy</w:t>
      </w:r>
      <w:r w:rsidRPr="004B7E04">
        <w:rPr>
          <w:rFonts w:ascii="Arial" w:hAnsi="Arial" w:cs="Arial"/>
          <w:iCs/>
        </w:rPr>
        <w:t>ż</w:t>
      </w:r>
      <w:r w:rsidRPr="004B7E04">
        <w:rPr>
          <w:rFonts w:ascii="Arial" w:hAnsi="Arial" w:cs="Arial"/>
          <w:iCs/>
        </w:rPr>
        <w:t>szego w zakresie postępowania karnego (lata 1980–1983),</w:t>
      </w:r>
      <w:r>
        <w:rPr>
          <w:rFonts w:ascii="Arial" w:hAnsi="Arial" w:cs="Arial"/>
          <w:iCs/>
        </w:rPr>
        <w:t xml:space="preserve"> </w:t>
      </w:r>
      <w:r w:rsidRPr="004B7E04">
        <w:rPr>
          <w:rFonts w:ascii="Arial" w:hAnsi="Arial" w:cs="Arial"/>
          <w:iCs/>
        </w:rPr>
        <w:t>Pal. 1984, nr 10, s. 95</w:t>
      </w:r>
      <w:r>
        <w:rPr>
          <w:rFonts w:ascii="Arial" w:hAnsi="Arial" w:cs="Arial"/>
          <w:iCs/>
        </w:rPr>
        <w:t>;</w:t>
      </w:r>
      <w:r w:rsidRPr="004B7E04">
        <w:rPr>
          <w:rFonts w:ascii="Arial" w:hAnsi="Arial" w:cs="Arial"/>
          <w:iCs/>
        </w:rPr>
        <w:t xml:space="preserve"> F. </w:t>
      </w:r>
      <w:r w:rsidRPr="00AA773D">
        <w:rPr>
          <w:rFonts w:ascii="Arial" w:hAnsi="Arial" w:cs="Arial"/>
          <w:iCs/>
          <w:spacing w:val="32"/>
        </w:rPr>
        <w:t>Prusa</w:t>
      </w:r>
      <w:r w:rsidRPr="004B7E04">
        <w:rPr>
          <w:rFonts w:ascii="Arial" w:hAnsi="Arial" w:cs="Arial"/>
          <w:iCs/>
        </w:rPr>
        <w:t>k</w:t>
      </w:r>
      <w:r>
        <w:rPr>
          <w:rFonts w:ascii="Arial" w:hAnsi="Arial" w:cs="Arial"/>
          <w:iCs/>
        </w:rPr>
        <w:t>,</w:t>
      </w:r>
      <w:r w:rsidRPr="004B7E04">
        <w:rPr>
          <w:rFonts w:ascii="Arial" w:hAnsi="Arial" w:cs="Arial"/>
          <w:iCs/>
        </w:rPr>
        <w:t xml:space="preserve"> Przegląd orzecznictwa Sądu Najwyższego w zakresie pr</w:t>
      </w:r>
      <w:r w:rsidRPr="004B7E04">
        <w:rPr>
          <w:rFonts w:ascii="Arial" w:hAnsi="Arial" w:cs="Arial"/>
          <w:iCs/>
        </w:rPr>
        <w:t>a</w:t>
      </w:r>
      <w:r w:rsidRPr="004B7E04">
        <w:rPr>
          <w:rFonts w:ascii="Arial" w:hAnsi="Arial" w:cs="Arial"/>
          <w:iCs/>
        </w:rPr>
        <w:t>wa karnego proces</w:t>
      </w:r>
      <w:r w:rsidRPr="004B7E04">
        <w:rPr>
          <w:rFonts w:ascii="Arial" w:hAnsi="Arial" w:cs="Arial"/>
          <w:iCs/>
        </w:rPr>
        <w:t>o</w:t>
      </w:r>
      <w:r w:rsidRPr="004B7E04">
        <w:rPr>
          <w:rFonts w:ascii="Arial" w:hAnsi="Arial" w:cs="Arial"/>
          <w:iCs/>
        </w:rPr>
        <w:t>wego (za rok 1982)</w:t>
      </w:r>
      <w:r>
        <w:rPr>
          <w:rFonts w:ascii="Arial" w:hAnsi="Arial" w:cs="Arial"/>
          <w:iCs/>
        </w:rPr>
        <w:t>,</w:t>
      </w:r>
      <w:r w:rsidRPr="004B7E04">
        <w:rPr>
          <w:rFonts w:ascii="Arial" w:hAnsi="Arial" w:cs="Arial"/>
          <w:iCs/>
        </w:rPr>
        <w:t xml:space="preserve"> NP 1983</w:t>
      </w:r>
      <w:r>
        <w:rPr>
          <w:rFonts w:ascii="Arial" w:hAnsi="Arial" w:cs="Arial"/>
          <w:iCs/>
        </w:rPr>
        <w:t>,</w:t>
      </w:r>
      <w:r w:rsidRPr="004B7E04">
        <w:rPr>
          <w:rFonts w:ascii="Arial" w:hAnsi="Arial" w:cs="Arial"/>
          <w:iCs/>
        </w:rPr>
        <w:t xml:space="preserve"> nr 9–10</w:t>
      </w:r>
      <w:r>
        <w:rPr>
          <w:rFonts w:ascii="Arial" w:hAnsi="Arial" w:cs="Arial"/>
          <w:iCs/>
        </w:rPr>
        <w:t>,</w:t>
      </w:r>
      <w:r w:rsidRPr="004B7E04">
        <w:rPr>
          <w:rFonts w:ascii="Arial" w:hAnsi="Arial" w:cs="Arial"/>
          <w:iCs/>
        </w:rPr>
        <w:t xml:space="preserve"> s.</w:t>
      </w:r>
      <w:r>
        <w:rPr>
          <w:rFonts w:ascii="Arial" w:hAnsi="Arial" w:cs="Arial"/>
          <w:iCs/>
        </w:rPr>
        <w:t xml:space="preserve"> </w:t>
      </w:r>
      <w:r w:rsidRPr="004B7E04">
        <w:rPr>
          <w:rFonts w:ascii="Arial" w:hAnsi="Arial" w:cs="Arial"/>
          <w:iCs/>
        </w:rPr>
        <w:t>189.</w:t>
      </w:r>
    </w:p>
  </w:footnote>
  <w:footnote w:id="29">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J. </w:t>
      </w:r>
      <w:r w:rsidRPr="00AA773D">
        <w:rPr>
          <w:rFonts w:ascii="Arial" w:hAnsi="Arial" w:cs="Arial"/>
          <w:spacing w:val="32"/>
        </w:rPr>
        <w:t>Grajewsk</w:t>
      </w:r>
      <w:r w:rsidRPr="004B7E04">
        <w:rPr>
          <w:rFonts w:ascii="Arial" w:hAnsi="Arial" w:cs="Arial"/>
        </w:rPr>
        <w:t>i</w:t>
      </w:r>
      <w:r>
        <w:rPr>
          <w:rFonts w:ascii="Arial" w:hAnsi="Arial" w:cs="Arial"/>
        </w:rPr>
        <w:t>,</w:t>
      </w:r>
      <w:r w:rsidRPr="004B7E04">
        <w:rPr>
          <w:rFonts w:ascii="Arial" w:hAnsi="Arial" w:cs="Arial"/>
        </w:rPr>
        <w:t xml:space="preserve"> Przebieg procesu karnego</w:t>
      </w:r>
      <w:r>
        <w:rPr>
          <w:rFonts w:ascii="Arial" w:hAnsi="Arial" w:cs="Arial"/>
        </w:rPr>
        <w:t xml:space="preserve">…, s. </w:t>
      </w:r>
      <w:r w:rsidRPr="004B7E04">
        <w:rPr>
          <w:rFonts w:ascii="Arial" w:hAnsi="Arial" w:cs="Arial"/>
        </w:rPr>
        <w:t>81.</w:t>
      </w:r>
    </w:p>
  </w:footnote>
  <w:footnote w:id="30">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145</w:t>
      </w:r>
      <w:r>
        <w:rPr>
          <w:rFonts w:ascii="Arial" w:hAnsi="Arial" w:cs="Arial"/>
        </w:rPr>
        <w:t>;</w:t>
      </w:r>
      <w:r w:rsidRPr="004B7E04">
        <w:rPr>
          <w:rFonts w:ascii="Arial" w:hAnsi="Arial" w:cs="Arial"/>
        </w:rPr>
        <w:t xml:space="preserve"> 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Zakończenie</w:t>
      </w:r>
      <w:r>
        <w:rPr>
          <w:rFonts w:ascii="Arial" w:hAnsi="Arial" w:cs="Arial"/>
        </w:rPr>
        <w:t xml:space="preserve">…, s. </w:t>
      </w:r>
      <w:r w:rsidRPr="004B7E04">
        <w:rPr>
          <w:rFonts w:ascii="Arial" w:hAnsi="Arial" w:cs="Arial"/>
        </w:rPr>
        <w:t>96–97</w:t>
      </w:r>
      <w:r>
        <w:rPr>
          <w:rFonts w:ascii="Arial" w:hAnsi="Arial" w:cs="Arial"/>
        </w:rPr>
        <w:t>;</w:t>
      </w:r>
      <w:r w:rsidRPr="004B7E04">
        <w:rPr>
          <w:rFonts w:ascii="Arial" w:hAnsi="Arial" w:cs="Arial"/>
        </w:rPr>
        <w:t xml:space="preserve"> J.</w:t>
      </w:r>
      <w:r>
        <w:rPr>
          <w:rFonts w:ascii="Arial" w:hAnsi="Arial" w:cs="Arial"/>
        </w:rPr>
        <w:t> </w:t>
      </w:r>
      <w:r w:rsidRPr="00AA773D">
        <w:rPr>
          <w:rFonts w:ascii="Arial" w:hAnsi="Arial" w:cs="Arial"/>
          <w:spacing w:val="32"/>
        </w:rPr>
        <w:t>Ty</w:t>
      </w:r>
      <w:r w:rsidRPr="00AA773D">
        <w:rPr>
          <w:rFonts w:ascii="Arial" w:hAnsi="Arial" w:cs="Arial"/>
          <w:spacing w:val="32"/>
        </w:rPr>
        <w:t>l</w:t>
      </w:r>
      <w:r w:rsidRPr="00AA773D">
        <w:rPr>
          <w:rFonts w:ascii="Arial" w:hAnsi="Arial" w:cs="Arial"/>
          <w:spacing w:val="32"/>
        </w:rPr>
        <w:t>ma</w:t>
      </w:r>
      <w:r w:rsidRPr="004B7E04">
        <w:rPr>
          <w:rFonts w:ascii="Arial" w:hAnsi="Arial" w:cs="Arial"/>
        </w:rPr>
        <w:t>n</w:t>
      </w:r>
      <w:r>
        <w:rPr>
          <w:rFonts w:ascii="Arial" w:hAnsi="Arial" w:cs="Arial"/>
        </w:rPr>
        <w:t xml:space="preserve">, (w:) </w:t>
      </w:r>
      <w:r w:rsidRPr="004B7E04">
        <w:rPr>
          <w:rFonts w:ascii="Arial" w:hAnsi="Arial" w:cs="Arial"/>
        </w:rPr>
        <w:t xml:space="preserve">T. </w:t>
      </w:r>
      <w:r w:rsidRPr="00AA773D">
        <w:rPr>
          <w:rFonts w:ascii="Arial" w:hAnsi="Arial" w:cs="Arial"/>
          <w:spacing w:val="32"/>
        </w:rPr>
        <w:t>Grzegorczy</w:t>
      </w:r>
      <w:r w:rsidRPr="004B7E04">
        <w:rPr>
          <w:rFonts w:ascii="Arial" w:hAnsi="Arial" w:cs="Arial"/>
        </w:rPr>
        <w:t xml:space="preserve">k, J. </w:t>
      </w:r>
      <w:r w:rsidRPr="00AA773D">
        <w:rPr>
          <w:rFonts w:ascii="Arial" w:hAnsi="Arial" w:cs="Arial"/>
          <w:spacing w:val="32"/>
        </w:rPr>
        <w:t>Tylma</w:t>
      </w:r>
      <w:r w:rsidRPr="004B7E04">
        <w:rPr>
          <w:rFonts w:ascii="Arial" w:hAnsi="Arial" w:cs="Arial"/>
        </w:rPr>
        <w:t>n</w:t>
      </w:r>
      <w:r>
        <w:rPr>
          <w:rFonts w:ascii="Arial" w:hAnsi="Arial" w:cs="Arial"/>
        </w:rPr>
        <w:t>,</w:t>
      </w:r>
      <w:r w:rsidRPr="004B7E04">
        <w:rPr>
          <w:rFonts w:ascii="Arial" w:hAnsi="Arial" w:cs="Arial"/>
        </w:rPr>
        <w:t xml:space="preserve"> Polskie postępowanie karne</w:t>
      </w:r>
      <w:r>
        <w:rPr>
          <w:rFonts w:ascii="Arial" w:hAnsi="Arial" w:cs="Arial"/>
        </w:rPr>
        <w:t xml:space="preserve">…, s. </w:t>
      </w:r>
      <w:r w:rsidRPr="004B7E04">
        <w:rPr>
          <w:rFonts w:ascii="Arial" w:hAnsi="Arial" w:cs="Arial"/>
        </w:rPr>
        <w:t>635.</w:t>
      </w:r>
    </w:p>
  </w:footnote>
  <w:footnote w:id="31">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T. </w:t>
      </w:r>
      <w:r w:rsidRPr="00AA773D">
        <w:rPr>
          <w:rFonts w:ascii="Arial" w:hAnsi="Arial" w:cs="Arial"/>
          <w:spacing w:val="32"/>
        </w:rPr>
        <w:t>Grzegorczy</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s. </w:t>
      </w:r>
      <w:r w:rsidRPr="004B7E04">
        <w:rPr>
          <w:rFonts w:ascii="Arial" w:hAnsi="Arial" w:cs="Arial"/>
        </w:rPr>
        <w:t>682.</w:t>
      </w:r>
    </w:p>
  </w:footnote>
  <w:footnote w:id="32">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sidRPr="004B7E04">
        <w:rPr>
          <w:rFonts w:ascii="Arial" w:hAnsi="Arial" w:cs="Arial"/>
        </w:rPr>
        <w:t>...</w:t>
      </w:r>
      <w:r>
        <w:rPr>
          <w:rFonts w:ascii="Arial" w:hAnsi="Arial" w:cs="Arial"/>
        </w:rPr>
        <w:t xml:space="preserve">, s. </w:t>
      </w:r>
      <w:r w:rsidRPr="004B7E04">
        <w:rPr>
          <w:rFonts w:ascii="Arial" w:hAnsi="Arial" w:cs="Arial"/>
        </w:rPr>
        <w:t>428.</w:t>
      </w:r>
    </w:p>
  </w:footnote>
  <w:footnote w:id="33">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S. </w:t>
      </w:r>
      <w:r w:rsidRPr="00AA773D">
        <w:rPr>
          <w:rFonts w:ascii="Arial" w:hAnsi="Arial" w:cs="Arial"/>
          <w:spacing w:val="32"/>
        </w:rPr>
        <w:t>Walto</w:t>
      </w:r>
      <w:r w:rsidRPr="004B7E04">
        <w:rPr>
          <w:rFonts w:ascii="Arial" w:hAnsi="Arial" w:cs="Arial"/>
        </w:rPr>
        <w:t>ś</w:t>
      </w:r>
      <w:r>
        <w:rPr>
          <w:rFonts w:ascii="Arial" w:hAnsi="Arial" w:cs="Arial"/>
        </w:rPr>
        <w:t>,</w:t>
      </w:r>
      <w:r w:rsidRPr="004B7E04">
        <w:rPr>
          <w:rFonts w:ascii="Arial" w:hAnsi="Arial" w:cs="Arial"/>
        </w:rPr>
        <w:t xml:space="preserve"> O obstrukcji procesowej, czyli kilka uwag o nadużyciu prawa procesowego</w:t>
      </w:r>
      <w:r>
        <w:rPr>
          <w:rFonts w:ascii="Arial" w:hAnsi="Arial" w:cs="Arial"/>
        </w:rPr>
        <w:t xml:space="preserve">, (w:) </w:t>
      </w:r>
      <w:r w:rsidRPr="004B7E04">
        <w:rPr>
          <w:rFonts w:ascii="Arial" w:hAnsi="Arial" w:cs="Arial"/>
        </w:rPr>
        <w:t>Kręgu teorii i praktyki prawa karnego. Księga poświęcona pamięci prof. A. Wąska, Lublin 2005, s. 623.</w:t>
      </w:r>
    </w:p>
  </w:footnote>
  <w:footnote w:id="34">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143.</w:t>
      </w:r>
    </w:p>
  </w:footnote>
  <w:footnote w:id="35">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Pr>
          <w:rFonts w:ascii="Arial" w:hAnsi="Arial" w:cs="Arial"/>
        </w:rPr>
        <w:t xml:space="preserve"> </w:t>
      </w:r>
      <w:r>
        <w:rPr>
          <w:rFonts w:ascii="Arial" w:hAnsi="Arial" w:cs="Arial"/>
        </w:rPr>
        <w:tab/>
      </w:r>
      <w:r w:rsidRPr="004B7E04">
        <w:rPr>
          <w:rFonts w:ascii="Arial" w:hAnsi="Arial" w:cs="Arial"/>
        </w:rPr>
        <w:t xml:space="preserve">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16</w:t>
      </w:r>
      <w:r>
        <w:rPr>
          <w:rFonts w:ascii="Arial" w:hAnsi="Arial" w:cs="Arial"/>
        </w:rPr>
        <w:t>;</w:t>
      </w:r>
      <w:r w:rsidRPr="004B7E04">
        <w:rPr>
          <w:rFonts w:ascii="Arial" w:hAnsi="Arial" w:cs="Arial"/>
        </w:rPr>
        <w:t xml:space="preserve"> J. </w:t>
      </w:r>
      <w:r w:rsidRPr="00AA773D">
        <w:rPr>
          <w:rFonts w:ascii="Arial" w:hAnsi="Arial" w:cs="Arial"/>
          <w:spacing w:val="32"/>
        </w:rPr>
        <w:t>Tylma</w:t>
      </w:r>
      <w:r w:rsidRPr="004B7E04">
        <w:rPr>
          <w:rFonts w:ascii="Arial" w:hAnsi="Arial" w:cs="Arial"/>
        </w:rPr>
        <w:t>n</w:t>
      </w:r>
      <w:r>
        <w:rPr>
          <w:rFonts w:ascii="Arial" w:hAnsi="Arial" w:cs="Arial"/>
        </w:rPr>
        <w:t xml:space="preserve">, (w:) </w:t>
      </w:r>
      <w:r w:rsidRPr="004B7E04">
        <w:rPr>
          <w:rFonts w:ascii="Arial" w:hAnsi="Arial" w:cs="Arial"/>
        </w:rPr>
        <w:t xml:space="preserve">T. </w:t>
      </w:r>
      <w:r w:rsidRPr="00AA773D">
        <w:rPr>
          <w:rFonts w:ascii="Arial" w:hAnsi="Arial" w:cs="Arial"/>
          <w:spacing w:val="32"/>
        </w:rPr>
        <w:t>Grzegorczy</w:t>
      </w:r>
      <w:r w:rsidRPr="004B7E04">
        <w:rPr>
          <w:rFonts w:ascii="Arial" w:hAnsi="Arial" w:cs="Arial"/>
        </w:rPr>
        <w:t xml:space="preserve">k, J. </w:t>
      </w:r>
      <w:r w:rsidRPr="00AA773D">
        <w:rPr>
          <w:rFonts w:ascii="Arial" w:hAnsi="Arial" w:cs="Arial"/>
          <w:spacing w:val="32"/>
        </w:rPr>
        <w:t>Tylma</w:t>
      </w:r>
      <w:r w:rsidRPr="004B7E04">
        <w:rPr>
          <w:rFonts w:ascii="Arial" w:hAnsi="Arial" w:cs="Arial"/>
        </w:rPr>
        <w:t>n, Polskie p</w:t>
      </w:r>
      <w:r w:rsidRPr="004B7E04">
        <w:rPr>
          <w:rFonts w:ascii="Arial" w:hAnsi="Arial" w:cs="Arial"/>
        </w:rPr>
        <w:t>o</w:t>
      </w:r>
      <w:r w:rsidRPr="004B7E04">
        <w:rPr>
          <w:rFonts w:ascii="Arial" w:hAnsi="Arial" w:cs="Arial"/>
        </w:rPr>
        <w:t>stępowanie..., s.</w:t>
      </w:r>
      <w:r>
        <w:rPr>
          <w:rFonts w:ascii="Arial" w:hAnsi="Arial" w:cs="Arial"/>
        </w:rPr>
        <w:t xml:space="preserve"> </w:t>
      </w:r>
      <w:r w:rsidRPr="004B7E04">
        <w:rPr>
          <w:rFonts w:ascii="Arial" w:hAnsi="Arial" w:cs="Arial"/>
        </w:rPr>
        <w:t>634.</w:t>
      </w:r>
    </w:p>
  </w:footnote>
  <w:footnote w:id="36">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S. </w:t>
      </w:r>
      <w:r w:rsidRPr="00AA773D">
        <w:rPr>
          <w:rFonts w:ascii="Arial" w:hAnsi="Arial" w:cs="Arial"/>
          <w:spacing w:val="32"/>
        </w:rPr>
        <w:t>Walto</w:t>
      </w:r>
      <w:r w:rsidRPr="004B7E04">
        <w:rPr>
          <w:rFonts w:ascii="Arial" w:hAnsi="Arial" w:cs="Arial"/>
        </w:rPr>
        <w:t xml:space="preserve">ś, P. </w:t>
      </w:r>
      <w:r w:rsidRPr="00AA773D">
        <w:rPr>
          <w:rFonts w:ascii="Arial" w:hAnsi="Arial" w:cs="Arial"/>
          <w:spacing w:val="32"/>
        </w:rPr>
        <w:t>Hofmańsk</w:t>
      </w:r>
      <w:r w:rsidRPr="004B7E04">
        <w:rPr>
          <w:rFonts w:ascii="Arial" w:hAnsi="Arial" w:cs="Arial"/>
        </w:rPr>
        <w:t>i</w:t>
      </w:r>
      <w:r>
        <w:rPr>
          <w:rFonts w:ascii="Arial" w:hAnsi="Arial" w:cs="Arial"/>
        </w:rPr>
        <w:t>,</w:t>
      </w:r>
      <w:r w:rsidRPr="004B7E04">
        <w:rPr>
          <w:rFonts w:ascii="Arial" w:hAnsi="Arial" w:cs="Arial"/>
        </w:rPr>
        <w:t xml:space="preserve"> Proces karny</w:t>
      </w:r>
      <w:r>
        <w:rPr>
          <w:rFonts w:ascii="Arial" w:hAnsi="Arial" w:cs="Arial"/>
        </w:rPr>
        <w:t xml:space="preserve">…, s. </w:t>
      </w:r>
      <w:r w:rsidRPr="004B7E04">
        <w:rPr>
          <w:rFonts w:ascii="Arial" w:hAnsi="Arial" w:cs="Arial"/>
        </w:rPr>
        <w:t>485.</w:t>
      </w:r>
    </w:p>
  </w:footnote>
  <w:footnote w:id="37">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431–432</w:t>
      </w:r>
      <w:r>
        <w:rPr>
          <w:rFonts w:ascii="Arial" w:hAnsi="Arial" w:cs="Arial"/>
        </w:rPr>
        <w:t>;</w:t>
      </w:r>
      <w:r w:rsidRPr="004B7E04">
        <w:rPr>
          <w:rFonts w:ascii="Arial" w:hAnsi="Arial" w:cs="Arial"/>
        </w:rPr>
        <w:t xml:space="preserve"> 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Zakończenie…</w:t>
      </w:r>
      <w:r>
        <w:rPr>
          <w:rFonts w:ascii="Arial" w:hAnsi="Arial" w:cs="Arial"/>
        </w:rPr>
        <w:t>,</w:t>
      </w:r>
      <w:r w:rsidRPr="004B7E04">
        <w:rPr>
          <w:rFonts w:ascii="Arial" w:hAnsi="Arial" w:cs="Arial"/>
        </w:rPr>
        <w:t xml:space="preserve"> s. </w:t>
      </w:r>
      <w:smartTag w:uri="urn:schemas-microsoft-com:office:smarttags" w:element="metricconverter">
        <w:smartTagPr>
          <w:attr w:name="ProductID" w:val="97, a"/>
        </w:smartTagPr>
        <w:r w:rsidRPr="004B7E04">
          <w:rPr>
            <w:rFonts w:ascii="Arial" w:hAnsi="Arial" w:cs="Arial"/>
          </w:rPr>
          <w:t>97, a</w:t>
        </w:r>
      </w:smartTag>
      <w:r w:rsidRPr="004B7E04">
        <w:rPr>
          <w:rFonts w:ascii="Arial" w:hAnsi="Arial" w:cs="Arial"/>
        </w:rPr>
        <w:t xml:space="preserve"> także Z.</w:t>
      </w:r>
      <w:r>
        <w:rPr>
          <w:rFonts w:ascii="Arial" w:hAnsi="Arial" w:cs="Arial"/>
        </w:rPr>
        <w:t> </w:t>
      </w:r>
      <w:r w:rsidRPr="00AA773D">
        <w:rPr>
          <w:rFonts w:ascii="Arial" w:hAnsi="Arial" w:cs="Arial"/>
          <w:spacing w:val="32"/>
        </w:rPr>
        <w:t>Młynarczy</w:t>
      </w:r>
      <w:r w:rsidRPr="004B7E04">
        <w:rPr>
          <w:rFonts w:ascii="Arial" w:hAnsi="Arial" w:cs="Arial"/>
        </w:rPr>
        <w:t>k</w:t>
      </w:r>
      <w:r>
        <w:rPr>
          <w:rFonts w:ascii="Arial" w:hAnsi="Arial" w:cs="Arial"/>
        </w:rPr>
        <w:t>,</w:t>
      </w:r>
      <w:r w:rsidRPr="004B7E04">
        <w:rPr>
          <w:rFonts w:ascii="Arial" w:hAnsi="Arial" w:cs="Arial"/>
        </w:rPr>
        <w:t xml:space="preserve"> Przedstawienie zarzutów, badanie wniosków dowodowych, niektóre czynności d</w:t>
      </w:r>
      <w:r w:rsidRPr="004B7E04">
        <w:rPr>
          <w:rFonts w:ascii="Arial" w:hAnsi="Arial" w:cs="Arial"/>
        </w:rPr>
        <w:t>o</w:t>
      </w:r>
      <w:r w:rsidRPr="004B7E04">
        <w:rPr>
          <w:rFonts w:ascii="Arial" w:hAnsi="Arial" w:cs="Arial"/>
        </w:rPr>
        <w:t>wodowe</w:t>
      </w:r>
      <w:r>
        <w:rPr>
          <w:rFonts w:ascii="Arial" w:hAnsi="Arial" w:cs="Arial"/>
        </w:rPr>
        <w:t xml:space="preserve"> </w:t>
      </w:r>
      <w:r w:rsidRPr="004B7E04">
        <w:rPr>
          <w:rFonts w:ascii="Arial" w:hAnsi="Arial" w:cs="Arial"/>
        </w:rPr>
        <w:t>oraz zaznajomienie z materiałami postępowania przygotowawczego,</w:t>
      </w:r>
      <w:r>
        <w:rPr>
          <w:rFonts w:ascii="Arial" w:hAnsi="Arial" w:cs="Arial"/>
        </w:rPr>
        <w:t xml:space="preserve"> </w:t>
      </w:r>
      <w:r w:rsidRPr="004B7E04">
        <w:rPr>
          <w:rFonts w:ascii="Arial" w:hAnsi="Arial" w:cs="Arial"/>
        </w:rPr>
        <w:t>Prok. i Pr. 1995</w:t>
      </w:r>
      <w:r>
        <w:rPr>
          <w:rFonts w:ascii="Arial" w:hAnsi="Arial" w:cs="Arial"/>
        </w:rPr>
        <w:t xml:space="preserve">, nr </w:t>
      </w:r>
      <w:r w:rsidRPr="004B7E04">
        <w:rPr>
          <w:rFonts w:ascii="Arial" w:hAnsi="Arial" w:cs="Arial"/>
        </w:rPr>
        <w:t>7–8, s. 139</w:t>
      </w:r>
      <w:r>
        <w:rPr>
          <w:rFonts w:ascii="Arial" w:hAnsi="Arial" w:cs="Arial"/>
        </w:rPr>
        <w:t xml:space="preserve"> i</w:t>
      </w:r>
      <w:r w:rsidRPr="004B7E04">
        <w:rPr>
          <w:rFonts w:ascii="Arial" w:hAnsi="Arial" w:cs="Arial"/>
        </w:rPr>
        <w:t xml:space="preserve"> J. </w:t>
      </w:r>
      <w:r w:rsidRPr="00AA773D">
        <w:rPr>
          <w:rFonts w:ascii="Arial" w:hAnsi="Arial" w:cs="Arial"/>
          <w:spacing w:val="32"/>
        </w:rPr>
        <w:t>Grajewsk</w:t>
      </w:r>
      <w:r w:rsidRPr="004B7E04">
        <w:rPr>
          <w:rFonts w:ascii="Arial" w:hAnsi="Arial" w:cs="Arial"/>
        </w:rPr>
        <w:t>i</w:t>
      </w:r>
      <w:r>
        <w:rPr>
          <w:rFonts w:ascii="Arial" w:hAnsi="Arial" w:cs="Arial"/>
        </w:rPr>
        <w:t>,</w:t>
      </w:r>
      <w:r w:rsidRPr="004B7E04">
        <w:rPr>
          <w:rFonts w:ascii="Arial" w:hAnsi="Arial" w:cs="Arial"/>
        </w:rPr>
        <w:t xml:space="preserve"> Przebieg procesu karnego</w:t>
      </w:r>
      <w:r>
        <w:rPr>
          <w:rFonts w:ascii="Arial" w:hAnsi="Arial" w:cs="Arial"/>
        </w:rPr>
        <w:t>…, s. 80–</w:t>
      </w:r>
      <w:r w:rsidRPr="004B7E04">
        <w:rPr>
          <w:rFonts w:ascii="Arial" w:hAnsi="Arial" w:cs="Arial"/>
        </w:rPr>
        <w:t>81.</w:t>
      </w:r>
    </w:p>
  </w:footnote>
  <w:footnote w:id="38">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Pr>
          <w:rFonts w:ascii="Arial" w:hAnsi="Arial" w:cs="Arial"/>
          <w:iCs/>
        </w:rPr>
        <w:t>,</w:t>
      </w:r>
      <w:r>
        <w:rPr>
          <w:rFonts w:ascii="Arial" w:hAnsi="Arial" w:cs="Arial"/>
        </w:rPr>
        <w:t xml:space="preserve"> s. 144.</w:t>
      </w:r>
    </w:p>
  </w:footnote>
  <w:footnote w:id="39">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S. </w:t>
      </w:r>
      <w:r w:rsidRPr="00AA773D">
        <w:rPr>
          <w:rFonts w:ascii="Arial" w:hAnsi="Arial" w:cs="Arial"/>
          <w:spacing w:val="32"/>
        </w:rPr>
        <w:t>Stachowia</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16.</w:t>
      </w:r>
    </w:p>
  </w:footnote>
  <w:footnote w:id="40">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Pr>
          <w:rFonts w:ascii="Arial" w:hAnsi="Arial" w:cs="Arial"/>
        </w:rPr>
        <w:tab/>
      </w:r>
      <w:r w:rsidRPr="004B7E04">
        <w:rPr>
          <w:rFonts w:ascii="Arial" w:hAnsi="Arial" w:cs="Arial"/>
        </w:rPr>
        <w:t>Uchwała SN</w:t>
      </w:r>
      <w:r>
        <w:rPr>
          <w:rFonts w:ascii="Arial" w:hAnsi="Arial" w:cs="Arial"/>
        </w:rPr>
        <w:t xml:space="preserve"> </w:t>
      </w:r>
      <w:r w:rsidRPr="004B7E04">
        <w:rPr>
          <w:rFonts w:ascii="Arial" w:hAnsi="Arial" w:cs="Arial"/>
        </w:rPr>
        <w:t xml:space="preserve">z dnia 22 września 1995 </w:t>
      </w:r>
      <w:r>
        <w:rPr>
          <w:rFonts w:ascii="Arial" w:hAnsi="Arial" w:cs="Arial"/>
        </w:rPr>
        <w:t>r., sygn. I</w:t>
      </w:r>
      <w:r w:rsidRPr="004B7E04">
        <w:rPr>
          <w:rFonts w:ascii="Arial" w:hAnsi="Arial" w:cs="Arial"/>
        </w:rPr>
        <w:t xml:space="preserve"> KZP 31/95,</w:t>
      </w:r>
      <w:r w:rsidRPr="004B7E04">
        <w:rPr>
          <w:rFonts w:ascii="Arial" w:hAnsi="Arial" w:cs="Arial"/>
          <w:iCs/>
        </w:rPr>
        <w:t xml:space="preserve"> OSNKW 1995, nr 11–12, poz.</w:t>
      </w:r>
      <w:r>
        <w:rPr>
          <w:rFonts w:ascii="Arial" w:hAnsi="Arial" w:cs="Arial"/>
          <w:iCs/>
        </w:rPr>
        <w:t> </w:t>
      </w:r>
      <w:r w:rsidRPr="004B7E04">
        <w:rPr>
          <w:rFonts w:ascii="Arial" w:hAnsi="Arial" w:cs="Arial"/>
          <w:iCs/>
        </w:rPr>
        <w:t>74</w:t>
      </w:r>
      <w:r>
        <w:rPr>
          <w:rFonts w:ascii="Arial" w:hAnsi="Arial" w:cs="Arial"/>
          <w:iCs/>
        </w:rPr>
        <w:t>,</w:t>
      </w:r>
      <w:r w:rsidRPr="004B7E04">
        <w:rPr>
          <w:rFonts w:ascii="Arial" w:hAnsi="Arial" w:cs="Arial"/>
        </w:rPr>
        <w:t xml:space="preserve"> z aprobującymi uwagami Z. </w:t>
      </w:r>
      <w:r w:rsidRPr="00AA773D">
        <w:rPr>
          <w:rFonts w:ascii="Arial" w:hAnsi="Arial" w:cs="Arial"/>
          <w:iCs/>
          <w:spacing w:val="32"/>
        </w:rPr>
        <w:t>Dod</w:t>
      </w:r>
      <w:r w:rsidRPr="004B7E04">
        <w:rPr>
          <w:rFonts w:ascii="Arial" w:hAnsi="Arial" w:cs="Arial"/>
        </w:rPr>
        <w:t xml:space="preserve">y, J. </w:t>
      </w:r>
      <w:r w:rsidRPr="00AA773D">
        <w:rPr>
          <w:rFonts w:ascii="Arial" w:hAnsi="Arial" w:cs="Arial"/>
          <w:spacing w:val="32"/>
        </w:rPr>
        <w:t>Graje</w:t>
      </w:r>
      <w:r w:rsidRPr="00AA773D">
        <w:rPr>
          <w:rFonts w:ascii="Arial" w:hAnsi="Arial" w:cs="Arial"/>
          <w:iCs/>
          <w:spacing w:val="32"/>
        </w:rPr>
        <w:t>wskieg</w:t>
      </w:r>
      <w:r w:rsidRPr="004B7E04">
        <w:rPr>
          <w:rFonts w:ascii="Arial" w:hAnsi="Arial" w:cs="Arial"/>
        </w:rPr>
        <w:t>o</w:t>
      </w:r>
      <w:r>
        <w:rPr>
          <w:rFonts w:ascii="Arial" w:hAnsi="Arial" w:cs="Arial"/>
        </w:rPr>
        <w:t>,</w:t>
      </w:r>
      <w:r w:rsidRPr="004B7E04">
        <w:rPr>
          <w:rFonts w:ascii="Arial" w:hAnsi="Arial" w:cs="Arial"/>
        </w:rPr>
        <w:t xml:space="preserve"> </w:t>
      </w:r>
      <w:r w:rsidRPr="004B7E04">
        <w:rPr>
          <w:rFonts w:ascii="Arial" w:hAnsi="Arial" w:cs="Arial"/>
          <w:iCs/>
        </w:rPr>
        <w:t>Karnoprocesowe orzec</w:t>
      </w:r>
      <w:r w:rsidRPr="004B7E04">
        <w:rPr>
          <w:rFonts w:ascii="Arial" w:hAnsi="Arial" w:cs="Arial"/>
          <w:iCs/>
        </w:rPr>
        <w:t>z</w:t>
      </w:r>
      <w:r w:rsidRPr="004B7E04">
        <w:rPr>
          <w:rFonts w:ascii="Arial" w:hAnsi="Arial" w:cs="Arial"/>
          <w:iCs/>
        </w:rPr>
        <w:t xml:space="preserve">nictwo Sądu Najwyższego (lata 1995–1996), </w:t>
      </w:r>
      <w:r>
        <w:rPr>
          <w:rFonts w:ascii="Arial" w:hAnsi="Arial" w:cs="Arial"/>
        </w:rPr>
        <w:t xml:space="preserve">PS 1997, nr 11–12, s. 103 </w:t>
      </w:r>
      <w:r w:rsidRPr="004B7E04">
        <w:rPr>
          <w:rFonts w:ascii="Arial" w:hAnsi="Arial" w:cs="Arial"/>
        </w:rPr>
        <w:t xml:space="preserve">i R. A. </w:t>
      </w:r>
      <w:r w:rsidRPr="00AA773D">
        <w:rPr>
          <w:rFonts w:ascii="Arial" w:hAnsi="Arial" w:cs="Arial"/>
          <w:spacing w:val="32"/>
        </w:rPr>
        <w:t>Stefa</w:t>
      </w:r>
      <w:r w:rsidRPr="00AA773D">
        <w:rPr>
          <w:rFonts w:ascii="Arial" w:hAnsi="Arial" w:cs="Arial"/>
          <w:spacing w:val="32"/>
        </w:rPr>
        <w:t>ń</w:t>
      </w:r>
      <w:r w:rsidRPr="00AA773D">
        <w:rPr>
          <w:rFonts w:ascii="Arial" w:hAnsi="Arial" w:cs="Arial"/>
          <w:spacing w:val="32"/>
        </w:rPr>
        <w:t>s</w:t>
      </w:r>
      <w:r w:rsidRPr="00AA773D">
        <w:rPr>
          <w:rFonts w:ascii="Arial" w:hAnsi="Arial" w:cs="Arial"/>
          <w:iCs/>
          <w:spacing w:val="32"/>
        </w:rPr>
        <w:t>kieg</w:t>
      </w:r>
      <w:r w:rsidRPr="004B7E04">
        <w:rPr>
          <w:rFonts w:ascii="Arial" w:hAnsi="Arial" w:cs="Arial"/>
        </w:rPr>
        <w:t>o</w:t>
      </w:r>
      <w:r>
        <w:rPr>
          <w:rFonts w:ascii="Arial" w:hAnsi="Arial" w:cs="Arial"/>
        </w:rPr>
        <w:t>,</w:t>
      </w:r>
      <w:r w:rsidRPr="004B7E04">
        <w:rPr>
          <w:rFonts w:ascii="Arial" w:hAnsi="Arial" w:cs="Arial"/>
        </w:rPr>
        <w:t xml:space="preserve"> </w:t>
      </w:r>
      <w:r w:rsidRPr="004B7E04">
        <w:rPr>
          <w:rFonts w:ascii="Arial" w:hAnsi="Arial" w:cs="Arial"/>
          <w:iCs/>
        </w:rPr>
        <w:t>Przegląd uchwał Izby Karnej Sądu Najwyższego w zakresie prawa karnego proc</w:t>
      </w:r>
      <w:r w:rsidRPr="004B7E04">
        <w:rPr>
          <w:rFonts w:ascii="Arial" w:hAnsi="Arial" w:cs="Arial"/>
          <w:iCs/>
        </w:rPr>
        <w:t>e</w:t>
      </w:r>
      <w:r w:rsidRPr="004B7E04">
        <w:rPr>
          <w:rFonts w:ascii="Arial" w:hAnsi="Arial" w:cs="Arial"/>
          <w:iCs/>
        </w:rPr>
        <w:t>sowego za 1995 r</w:t>
      </w:r>
      <w:r w:rsidRPr="004B7E04">
        <w:rPr>
          <w:rFonts w:ascii="Arial" w:hAnsi="Arial" w:cs="Arial"/>
        </w:rPr>
        <w:t>., WPP 1996, nr 3–4, s. 116–117.</w:t>
      </w:r>
    </w:p>
  </w:footnote>
  <w:footnote w:id="41">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Zamknięcie…, s. 424–437.</w:t>
      </w:r>
    </w:p>
  </w:footnote>
  <w:footnote w:id="42">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Uchwała SN</w:t>
      </w:r>
      <w:r>
        <w:rPr>
          <w:rFonts w:ascii="Arial" w:hAnsi="Arial" w:cs="Arial"/>
        </w:rPr>
        <w:t xml:space="preserve"> </w:t>
      </w:r>
      <w:r w:rsidRPr="004B7E04">
        <w:rPr>
          <w:rFonts w:ascii="Arial" w:hAnsi="Arial" w:cs="Arial"/>
        </w:rPr>
        <w:t xml:space="preserve">z dnia 22 września 1995 </w:t>
      </w:r>
      <w:r>
        <w:rPr>
          <w:rFonts w:ascii="Arial" w:hAnsi="Arial" w:cs="Arial"/>
        </w:rPr>
        <w:t>r., sygn. I</w:t>
      </w:r>
      <w:r w:rsidRPr="004B7E04">
        <w:rPr>
          <w:rFonts w:ascii="Arial" w:hAnsi="Arial" w:cs="Arial"/>
        </w:rPr>
        <w:t xml:space="preserve"> KZP 31/95,</w:t>
      </w:r>
      <w:r w:rsidRPr="004B7E04">
        <w:rPr>
          <w:rFonts w:ascii="Arial" w:hAnsi="Arial" w:cs="Arial"/>
          <w:iCs/>
        </w:rPr>
        <w:t xml:space="preserve"> OSNKW 1995, nr 11–12, poz.</w:t>
      </w:r>
      <w:r>
        <w:rPr>
          <w:rFonts w:ascii="Arial" w:hAnsi="Arial" w:cs="Arial"/>
          <w:iCs/>
        </w:rPr>
        <w:t> </w:t>
      </w:r>
      <w:r w:rsidRPr="004B7E04">
        <w:rPr>
          <w:rFonts w:ascii="Arial" w:hAnsi="Arial" w:cs="Arial"/>
          <w:iCs/>
        </w:rPr>
        <w:t>74.</w:t>
      </w:r>
    </w:p>
  </w:footnote>
  <w:footnote w:id="43">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Z. </w:t>
      </w:r>
      <w:r w:rsidRPr="00AA773D">
        <w:rPr>
          <w:rFonts w:ascii="Arial" w:hAnsi="Arial" w:cs="Arial"/>
          <w:spacing w:val="32"/>
        </w:rPr>
        <w:t>Młynarczy</w:t>
      </w:r>
      <w:r w:rsidRPr="004B7E04">
        <w:rPr>
          <w:rFonts w:ascii="Arial" w:hAnsi="Arial" w:cs="Arial"/>
        </w:rPr>
        <w:t>k</w:t>
      </w:r>
      <w:r>
        <w:rPr>
          <w:rFonts w:ascii="Arial" w:hAnsi="Arial" w:cs="Arial"/>
        </w:rPr>
        <w:t>,</w:t>
      </w:r>
      <w:r w:rsidRPr="004B7E04">
        <w:rPr>
          <w:rFonts w:ascii="Arial" w:hAnsi="Arial" w:cs="Arial"/>
        </w:rPr>
        <w:t xml:space="preserve"> Przedstawienie zarzutów</w:t>
      </w:r>
      <w:r>
        <w:rPr>
          <w:rFonts w:ascii="Arial" w:hAnsi="Arial" w:cs="Arial"/>
        </w:rPr>
        <w:t xml:space="preserve">…, s. </w:t>
      </w:r>
      <w:r w:rsidRPr="004B7E04">
        <w:rPr>
          <w:rFonts w:ascii="Arial" w:hAnsi="Arial" w:cs="Arial"/>
        </w:rPr>
        <w:t>139.</w:t>
      </w:r>
    </w:p>
  </w:footnote>
  <w:footnote w:id="44">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T. </w:t>
      </w:r>
      <w:r w:rsidRPr="00AA773D">
        <w:rPr>
          <w:rFonts w:ascii="Arial" w:hAnsi="Arial" w:cs="Arial"/>
          <w:spacing w:val="32"/>
        </w:rPr>
        <w:t>Grzegorczy</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s. </w:t>
      </w:r>
      <w:r w:rsidRPr="004B7E04">
        <w:rPr>
          <w:rFonts w:ascii="Arial" w:hAnsi="Arial" w:cs="Arial"/>
        </w:rPr>
        <w:t>682.</w:t>
      </w:r>
    </w:p>
  </w:footnote>
  <w:footnote w:id="45">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Uchwała SN</w:t>
      </w:r>
      <w:r>
        <w:rPr>
          <w:rFonts w:ascii="Arial" w:hAnsi="Arial" w:cs="Arial"/>
        </w:rPr>
        <w:t xml:space="preserve"> </w:t>
      </w:r>
      <w:r w:rsidRPr="004B7E04">
        <w:rPr>
          <w:rFonts w:ascii="Arial" w:hAnsi="Arial" w:cs="Arial"/>
        </w:rPr>
        <w:t xml:space="preserve">z dnia 22 września 1995 </w:t>
      </w:r>
      <w:r>
        <w:rPr>
          <w:rFonts w:ascii="Arial" w:hAnsi="Arial" w:cs="Arial"/>
        </w:rPr>
        <w:t>r., sygn. I</w:t>
      </w:r>
      <w:r w:rsidRPr="004B7E04">
        <w:rPr>
          <w:rFonts w:ascii="Arial" w:hAnsi="Arial" w:cs="Arial"/>
        </w:rPr>
        <w:t xml:space="preserve"> KZP 31/95,</w:t>
      </w:r>
      <w:r w:rsidRPr="004B7E04">
        <w:rPr>
          <w:rFonts w:ascii="Arial" w:hAnsi="Arial" w:cs="Arial"/>
          <w:iCs/>
        </w:rPr>
        <w:t xml:space="preserve"> OSNKW 1995, nr 11–12, poz.</w:t>
      </w:r>
      <w:r>
        <w:rPr>
          <w:rFonts w:ascii="Arial" w:hAnsi="Arial" w:cs="Arial"/>
          <w:iCs/>
        </w:rPr>
        <w:t> </w:t>
      </w:r>
      <w:r w:rsidRPr="004B7E04">
        <w:rPr>
          <w:rFonts w:ascii="Arial" w:hAnsi="Arial" w:cs="Arial"/>
          <w:iCs/>
        </w:rPr>
        <w:t>74. Tak też</w:t>
      </w:r>
      <w:r>
        <w:rPr>
          <w:rFonts w:ascii="Arial" w:hAnsi="Arial" w:cs="Arial"/>
          <w:iCs/>
        </w:rPr>
        <w:t xml:space="preserve"> </w:t>
      </w:r>
      <w:r w:rsidRPr="004B7E04">
        <w:rPr>
          <w:rFonts w:ascii="Arial" w:hAnsi="Arial" w:cs="Arial"/>
          <w:iCs/>
        </w:rPr>
        <w:t xml:space="preserve">Z. </w:t>
      </w:r>
      <w:r w:rsidRPr="00AA773D">
        <w:rPr>
          <w:rFonts w:ascii="Arial" w:hAnsi="Arial" w:cs="Arial"/>
          <w:iCs/>
          <w:spacing w:val="32"/>
        </w:rPr>
        <w:t>Młynarczy</w:t>
      </w:r>
      <w:r w:rsidRPr="004B7E04">
        <w:rPr>
          <w:rFonts w:ascii="Arial" w:hAnsi="Arial" w:cs="Arial"/>
          <w:iCs/>
        </w:rPr>
        <w:t>k</w:t>
      </w:r>
      <w:r>
        <w:rPr>
          <w:rFonts w:ascii="Arial" w:hAnsi="Arial" w:cs="Arial"/>
          <w:iCs/>
        </w:rPr>
        <w:t>,</w:t>
      </w:r>
      <w:r w:rsidRPr="004B7E04">
        <w:rPr>
          <w:rFonts w:ascii="Arial" w:hAnsi="Arial" w:cs="Arial"/>
          <w:iCs/>
        </w:rPr>
        <w:t xml:space="preserve"> Przedstawienie zarzutów</w:t>
      </w:r>
      <w:r>
        <w:rPr>
          <w:rFonts w:ascii="Arial" w:hAnsi="Arial" w:cs="Arial"/>
          <w:iCs/>
        </w:rPr>
        <w:t xml:space="preserve">…, s. </w:t>
      </w:r>
      <w:r w:rsidRPr="004B7E04">
        <w:rPr>
          <w:rFonts w:ascii="Arial" w:hAnsi="Arial" w:cs="Arial"/>
          <w:iCs/>
        </w:rPr>
        <w:t xml:space="preserve">139. </w:t>
      </w:r>
    </w:p>
  </w:footnote>
  <w:footnote w:id="46">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Pr>
          <w:rFonts w:ascii="Arial" w:hAnsi="Arial" w:cs="Arial"/>
        </w:rPr>
        <w:t xml:space="preserve"> Uzasadnienie…, s. </w:t>
      </w:r>
      <w:r w:rsidRPr="004B7E04">
        <w:rPr>
          <w:rFonts w:ascii="Arial" w:hAnsi="Arial" w:cs="Arial"/>
        </w:rPr>
        <w:t>224.</w:t>
      </w:r>
    </w:p>
  </w:footnote>
  <w:footnote w:id="47">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147</w:t>
      </w:r>
      <w:r>
        <w:rPr>
          <w:rFonts w:ascii="Arial" w:hAnsi="Arial" w:cs="Arial"/>
        </w:rPr>
        <w:t xml:space="preserve">; </w:t>
      </w:r>
      <w:r w:rsidRPr="00AA773D">
        <w:rPr>
          <w:rFonts w:ascii="Arial" w:hAnsi="Arial" w:cs="Arial"/>
          <w:spacing w:val="32"/>
        </w:rPr>
        <w:t>tenż</w:t>
      </w:r>
      <w:r>
        <w:rPr>
          <w:rFonts w:ascii="Arial" w:hAnsi="Arial" w:cs="Arial"/>
        </w:rPr>
        <w:t xml:space="preserve">e, </w:t>
      </w:r>
      <w:r w:rsidRPr="004B7E04">
        <w:rPr>
          <w:rFonts w:ascii="Arial" w:hAnsi="Arial" w:cs="Arial"/>
        </w:rPr>
        <w:t>Kodeks postępowania karnego</w:t>
      </w:r>
      <w:r>
        <w:rPr>
          <w:rFonts w:ascii="Arial" w:hAnsi="Arial" w:cs="Arial"/>
        </w:rPr>
        <w:t xml:space="preserve">…, s. </w:t>
      </w:r>
      <w:r w:rsidRPr="004B7E04">
        <w:rPr>
          <w:rFonts w:ascii="Arial" w:hAnsi="Arial" w:cs="Arial"/>
        </w:rPr>
        <w:t>381.</w:t>
      </w:r>
    </w:p>
  </w:footnote>
  <w:footnote w:id="48">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P. </w:t>
      </w:r>
      <w:r w:rsidRPr="00AA773D">
        <w:rPr>
          <w:rFonts w:ascii="Arial" w:hAnsi="Arial" w:cs="Arial"/>
          <w:spacing w:val="32"/>
        </w:rPr>
        <w:t>Hofmańsk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t</w:t>
      </w:r>
      <w:r w:rsidRPr="004B7E04">
        <w:rPr>
          <w:rFonts w:ascii="Arial" w:hAnsi="Arial" w:cs="Arial"/>
        </w:rPr>
        <w:t>. II, s. 127.</w:t>
      </w:r>
    </w:p>
  </w:footnote>
  <w:footnote w:id="49">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T. </w:t>
      </w:r>
      <w:r w:rsidRPr="00AA773D">
        <w:rPr>
          <w:rFonts w:ascii="Arial" w:hAnsi="Arial" w:cs="Arial"/>
          <w:spacing w:val="32"/>
        </w:rPr>
        <w:t>Grzegorczy</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s. </w:t>
      </w:r>
      <w:r w:rsidRPr="004B7E04">
        <w:rPr>
          <w:rFonts w:ascii="Arial" w:hAnsi="Arial" w:cs="Arial"/>
        </w:rPr>
        <w:t>682.</w:t>
      </w:r>
    </w:p>
  </w:footnote>
  <w:footnote w:id="50">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sidRPr="004B7E04">
        <w:rPr>
          <w:rFonts w:ascii="Arial" w:hAnsi="Arial" w:cs="Arial"/>
        </w:rPr>
        <w:t>...</w:t>
      </w:r>
      <w:r>
        <w:rPr>
          <w:rFonts w:ascii="Arial" w:hAnsi="Arial" w:cs="Arial"/>
        </w:rPr>
        <w:t xml:space="preserve">, s. </w:t>
      </w:r>
      <w:r w:rsidRPr="004B7E04">
        <w:rPr>
          <w:rFonts w:ascii="Arial" w:hAnsi="Arial" w:cs="Arial"/>
        </w:rPr>
        <w:t>35</w:t>
      </w:r>
      <w:r>
        <w:rPr>
          <w:rFonts w:ascii="Arial" w:hAnsi="Arial" w:cs="Arial"/>
        </w:rPr>
        <w:t>;</w:t>
      </w:r>
      <w:r w:rsidRPr="004B7E04">
        <w:rPr>
          <w:rFonts w:ascii="Arial" w:hAnsi="Arial" w:cs="Arial"/>
        </w:rPr>
        <w:t xml:space="preserve"> 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Zamknięcie</w:t>
      </w:r>
      <w:r>
        <w:rPr>
          <w:rFonts w:ascii="Arial" w:hAnsi="Arial" w:cs="Arial"/>
        </w:rPr>
        <w:t xml:space="preserve">…, s. </w:t>
      </w:r>
      <w:r w:rsidRPr="004B7E04">
        <w:rPr>
          <w:rFonts w:ascii="Arial" w:hAnsi="Arial" w:cs="Arial"/>
        </w:rPr>
        <w:t>147</w:t>
      </w:r>
      <w:r>
        <w:rPr>
          <w:rFonts w:ascii="Arial" w:hAnsi="Arial" w:cs="Arial"/>
        </w:rPr>
        <w:t>;</w:t>
      </w:r>
      <w:r w:rsidRPr="004B7E04">
        <w:rPr>
          <w:rFonts w:ascii="Arial" w:hAnsi="Arial" w:cs="Arial"/>
        </w:rPr>
        <w:t xml:space="preserve"> T.</w:t>
      </w:r>
      <w:r>
        <w:rPr>
          <w:rFonts w:ascii="Arial" w:hAnsi="Arial" w:cs="Arial"/>
        </w:rPr>
        <w:t> </w:t>
      </w:r>
      <w:r w:rsidRPr="00AA773D">
        <w:rPr>
          <w:rFonts w:ascii="Arial" w:hAnsi="Arial" w:cs="Arial"/>
          <w:spacing w:val="32"/>
        </w:rPr>
        <w:t>Grzegorczy</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s. 682;</w:t>
      </w:r>
      <w:r w:rsidRPr="004B7E04">
        <w:rPr>
          <w:rFonts w:ascii="Arial" w:hAnsi="Arial" w:cs="Arial"/>
        </w:rPr>
        <w:t xml:space="preserve"> A. </w:t>
      </w:r>
      <w:r w:rsidRPr="00AA773D">
        <w:rPr>
          <w:rFonts w:ascii="Arial" w:hAnsi="Arial" w:cs="Arial"/>
          <w:spacing w:val="32"/>
        </w:rPr>
        <w:t>Trzcińsk</w:t>
      </w:r>
      <w:r w:rsidRPr="004B7E04">
        <w:rPr>
          <w:rFonts w:ascii="Arial" w:hAnsi="Arial" w:cs="Arial"/>
        </w:rPr>
        <w:t>a</w:t>
      </w:r>
      <w:r>
        <w:rPr>
          <w:rFonts w:ascii="Arial" w:hAnsi="Arial" w:cs="Arial"/>
        </w:rPr>
        <w:t xml:space="preserve">, </w:t>
      </w:r>
      <w:r w:rsidRPr="004B7E04">
        <w:rPr>
          <w:rFonts w:ascii="Arial" w:hAnsi="Arial" w:cs="Arial"/>
        </w:rPr>
        <w:t>Inicjatywa dowodowa podejrzanego</w:t>
      </w:r>
      <w:r>
        <w:rPr>
          <w:rFonts w:ascii="Arial" w:hAnsi="Arial" w:cs="Arial"/>
        </w:rPr>
        <w:t xml:space="preserve">, (w:) </w:t>
      </w:r>
      <w:r w:rsidRPr="004B7E04">
        <w:rPr>
          <w:rFonts w:ascii="Arial" w:hAnsi="Arial" w:cs="Arial"/>
        </w:rPr>
        <w:t>Współczesny polski proces karny. Księga ofiarowana Prof. T.</w:t>
      </w:r>
      <w:r>
        <w:rPr>
          <w:rFonts w:ascii="Arial" w:hAnsi="Arial" w:cs="Arial"/>
        </w:rPr>
        <w:t> </w:t>
      </w:r>
      <w:r w:rsidRPr="004B7E04">
        <w:rPr>
          <w:rFonts w:ascii="Arial" w:hAnsi="Arial" w:cs="Arial"/>
        </w:rPr>
        <w:t>Nowakowi</w:t>
      </w:r>
      <w:r>
        <w:rPr>
          <w:rFonts w:ascii="Arial" w:hAnsi="Arial" w:cs="Arial"/>
        </w:rPr>
        <w:t>, pod red</w:t>
      </w:r>
      <w:r w:rsidRPr="004B7E04">
        <w:rPr>
          <w:rFonts w:ascii="Arial" w:hAnsi="Arial" w:cs="Arial"/>
        </w:rPr>
        <w:t xml:space="preserve">. S. </w:t>
      </w:r>
      <w:r w:rsidRPr="00AA773D">
        <w:rPr>
          <w:rFonts w:ascii="Arial" w:hAnsi="Arial" w:cs="Arial"/>
          <w:spacing w:val="32"/>
        </w:rPr>
        <w:t>Stachowia</w:t>
      </w:r>
      <w:r w:rsidRPr="00554DA7">
        <w:rPr>
          <w:rFonts w:ascii="Arial" w:hAnsi="Arial" w:cs="Arial"/>
          <w:spacing w:val="32"/>
        </w:rPr>
        <w:t>k</w:t>
      </w:r>
      <w:r w:rsidRPr="004B7E04">
        <w:rPr>
          <w:rFonts w:ascii="Arial" w:hAnsi="Arial" w:cs="Arial"/>
        </w:rPr>
        <w:t>a, Poznań 2002, s. 270.</w:t>
      </w:r>
    </w:p>
  </w:footnote>
  <w:footnote w:id="51">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W. </w:t>
      </w:r>
      <w:r w:rsidRPr="00AA773D">
        <w:rPr>
          <w:rFonts w:ascii="Arial" w:hAnsi="Arial" w:cs="Arial"/>
          <w:spacing w:val="32"/>
        </w:rPr>
        <w:t>Grzeszczy</w:t>
      </w:r>
      <w:r w:rsidRPr="004B7E04">
        <w:rPr>
          <w:rFonts w:ascii="Arial" w:hAnsi="Arial" w:cs="Arial"/>
        </w:rPr>
        <w:t>k</w:t>
      </w:r>
      <w:r>
        <w:rPr>
          <w:rFonts w:ascii="Arial" w:hAnsi="Arial" w:cs="Arial"/>
        </w:rPr>
        <w:t>,</w:t>
      </w:r>
      <w:r w:rsidRPr="004B7E04">
        <w:rPr>
          <w:rFonts w:ascii="Arial" w:hAnsi="Arial" w:cs="Arial"/>
        </w:rPr>
        <w:t xml:space="preserve"> Kodeks postępowania karnego</w:t>
      </w:r>
      <w:r>
        <w:rPr>
          <w:rFonts w:ascii="Arial" w:hAnsi="Arial" w:cs="Arial"/>
        </w:rPr>
        <w:t xml:space="preserve">…, s. </w:t>
      </w:r>
      <w:r w:rsidRPr="004B7E04">
        <w:rPr>
          <w:rFonts w:ascii="Arial" w:hAnsi="Arial" w:cs="Arial"/>
        </w:rPr>
        <w:t>381</w:t>
      </w:r>
      <w:r>
        <w:rPr>
          <w:rFonts w:ascii="Arial" w:hAnsi="Arial" w:cs="Arial"/>
        </w:rPr>
        <w:t xml:space="preserve">; </w:t>
      </w:r>
      <w:r w:rsidRPr="004B7E04">
        <w:rPr>
          <w:rFonts w:ascii="Arial" w:hAnsi="Arial" w:cs="Arial"/>
        </w:rPr>
        <w:t xml:space="preserve">J. </w:t>
      </w:r>
      <w:r w:rsidRPr="00AA773D">
        <w:rPr>
          <w:rFonts w:ascii="Arial" w:hAnsi="Arial" w:cs="Arial"/>
          <w:spacing w:val="32"/>
        </w:rPr>
        <w:t>Grajewsk</w:t>
      </w:r>
      <w:r w:rsidRPr="004B7E04">
        <w:rPr>
          <w:rFonts w:ascii="Arial" w:hAnsi="Arial" w:cs="Arial"/>
        </w:rPr>
        <w:t xml:space="preserve">i, S. </w:t>
      </w:r>
      <w:r w:rsidRPr="00AA773D">
        <w:rPr>
          <w:rFonts w:ascii="Arial" w:hAnsi="Arial" w:cs="Arial"/>
          <w:spacing w:val="32"/>
        </w:rPr>
        <w:t>Stei</w:t>
      </w:r>
      <w:r w:rsidRPr="00AA773D">
        <w:rPr>
          <w:rFonts w:ascii="Arial" w:hAnsi="Arial" w:cs="Arial"/>
          <w:spacing w:val="32"/>
        </w:rPr>
        <w:t>n</w:t>
      </w:r>
      <w:r w:rsidRPr="00AA773D">
        <w:rPr>
          <w:rFonts w:ascii="Arial" w:hAnsi="Arial" w:cs="Arial"/>
          <w:spacing w:val="32"/>
        </w:rPr>
        <w:t>bor</w:t>
      </w:r>
      <w:r w:rsidRPr="004B7E04">
        <w:rPr>
          <w:rFonts w:ascii="Arial" w:hAnsi="Arial" w:cs="Arial"/>
        </w:rPr>
        <w:t>n</w:t>
      </w:r>
      <w:r>
        <w:rPr>
          <w:rFonts w:ascii="Arial" w:hAnsi="Arial" w:cs="Arial"/>
        </w:rPr>
        <w:t xml:space="preserve">, (w:) </w:t>
      </w:r>
      <w:r w:rsidRPr="004B7E04">
        <w:rPr>
          <w:rFonts w:ascii="Arial" w:hAnsi="Arial" w:cs="Arial"/>
        </w:rPr>
        <w:t xml:space="preserve">J. </w:t>
      </w:r>
      <w:r w:rsidRPr="00AA773D">
        <w:rPr>
          <w:rFonts w:ascii="Arial" w:hAnsi="Arial" w:cs="Arial"/>
          <w:spacing w:val="32"/>
        </w:rPr>
        <w:t>Grajewsk</w:t>
      </w:r>
      <w:r w:rsidRPr="004B7E04">
        <w:rPr>
          <w:rFonts w:ascii="Arial" w:hAnsi="Arial" w:cs="Arial"/>
        </w:rPr>
        <w:t xml:space="preserve">i, L. K. </w:t>
      </w:r>
      <w:r w:rsidRPr="00AA773D">
        <w:rPr>
          <w:rFonts w:ascii="Arial" w:hAnsi="Arial" w:cs="Arial"/>
          <w:spacing w:val="32"/>
        </w:rPr>
        <w:t>Paprzyck</w:t>
      </w:r>
      <w:r w:rsidRPr="004B7E04">
        <w:rPr>
          <w:rFonts w:ascii="Arial" w:hAnsi="Arial" w:cs="Arial"/>
        </w:rPr>
        <w:t xml:space="preserve">i, S. </w:t>
      </w:r>
      <w:r w:rsidRPr="00AA773D">
        <w:rPr>
          <w:rFonts w:ascii="Arial" w:hAnsi="Arial" w:cs="Arial"/>
          <w:spacing w:val="32"/>
        </w:rPr>
        <w:t>Steinbor</w:t>
      </w:r>
      <w:r w:rsidRPr="004B7E04">
        <w:rPr>
          <w:rFonts w:ascii="Arial" w:hAnsi="Arial" w:cs="Arial"/>
        </w:rPr>
        <w:t>n</w:t>
      </w:r>
      <w:r>
        <w:rPr>
          <w:rFonts w:ascii="Arial" w:hAnsi="Arial" w:cs="Arial"/>
        </w:rPr>
        <w:t>,</w:t>
      </w:r>
      <w:r w:rsidRPr="004B7E04">
        <w:rPr>
          <w:rFonts w:ascii="Arial" w:hAnsi="Arial" w:cs="Arial"/>
        </w:rPr>
        <w:t xml:space="preserve"> Kodeks postępowania ka</w:t>
      </w:r>
      <w:r w:rsidRPr="004B7E04">
        <w:rPr>
          <w:rFonts w:ascii="Arial" w:hAnsi="Arial" w:cs="Arial"/>
        </w:rPr>
        <w:t>r</w:t>
      </w:r>
      <w:r w:rsidRPr="004B7E04">
        <w:rPr>
          <w:rFonts w:ascii="Arial" w:hAnsi="Arial" w:cs="Arial"/>
        </w:rPr>
        <w:t>nego</w:t>
      </w:r>
      <w:r>
        <w:rPr>
          <w:rFonts w:ascii="Arial" w:hAnsi="Arial" w:cs="Arial"/>
        </w:rPr>
        <w:t xml:space="preserve">…, s. </w:t>
      </w:r>
      <w:r w:rsidRPr="004B7E04">
        <w:rPr>
          <w:rFonts w:ascii="Arial" w:hAnsi="Arial" w:cs="Arial"/>
        </w:rPr>
        <w:t>942. Odmie</w:t>
      </w:r>
      <w:r w:rsidRPr="004B7E04">
        <w:rPr>
          <w:rFonts w:ascii="Arial" w:hAnsi="Arial" w:cs="Arial"/>
        </w:rPr>
        <w:t>n</w:t>
      </w:r>
      <w:r w:rsidRPr="004B7E04">
        <w:rPr>
          <w:rFonts w:ascii="Arial" w:hAnsi="Arial" w:cs="Arial"/>
        </w:rPr>
        <w:t>nie i słusznie</w:t>
      </w:r>
      <w:r>
        <w:rPr>
          <w:rFonts w:ascii="Arial" w:hAnsi="Arial" w:cs="Arial"/>
        </w:rPr>
        <w:t xml:space="preserve"> </w:t>
      </w:r>
      <w:r w:rsidRPr="004B7E04">
        <w:rPr>
          <w:rFonts w:ascii="Arial" w:hAnsi="Arial" w:cs="Arial"/>
        </w:rPr>
        <w:t xml:space="preserve">K. </w:t>
      </w:r>
      <w:r w:rsidRPr="00AA773D">
        <w:rPr>
          <w:rFonts w:ascii="Arial" w:hAnsi="Arial" w:cs="Arial"/>
          <w:spacing w:val="32"/>
        </w:rPr>
        <w:t>Nitkowsk</w:t>
      </w:r>
      <w:r w:rsidRPr="004B7E04">
        <w:rPr>
          <w:rFonts w:ascii="Arial" w:hAnsi="Arial" w:cs="Arial"/>
        </w:rPr>
        <w:t>i</w:t>
      </w:r>
      <w:r>
        <w:rPr>
          <w:rFonts w:ascii="Arial" w:hAnsi="Arial" w:cs="Arial"/>
        </w:rPr>
        <w:t>,</w:t>
      </w:r>
      <w:r w:rsidRPr="004B7E04">
        <w:rPr>
          <w:rFonts w:ascii="Arial" w:hAnsi="Arial" w:cs="Arial"/>
        </w:rPr>
        <w:t xml:space="preserve"> Rola Policji</w:t>
      </w:r>
      <w:r>
        <w:rPr>
          <w:rFonts w:ascii="Arial" w:hAnsi="Arial" w:cs="Arial"/>
        </w:rPr>
        <w:t xml:space="preserve">…, s. </w:t>
      </w:r>
      <w:r w:rsidRPr="004B7E04">
        <w:rPr>
          <w:rFonts w:ascii="Arial" w:hAnsi="Arial" w:cs="Arial"/>
        </w:rPr>
        <w:t>253.</w:t>
      </w:r>
    </w:p>
  </w:footnote>
  <w:footnote w:id="52">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P. </w:t>
      </w:r>
      <w:r w:rsidRPr="00AA773D">
        <w:rPr>
          <w:rFonts w:ascii="Arial" w:hAnsi="Arial" w:cs="Arial"/>
          <w:spacing w:val="32"/>
        </w:rPr>
        <w:t>Hofmańsk</w:t>
      </w:r>
      <w:r w:rsidRPr="004B7E04">
        <w:rPr>
          <w:rFonts w:ascii="Arial" w:hAnsi="Arial" w:cs="Arial"/>
        </w:rPr>
        <w:t xml:space="preserve">i, E. </w:t>
      </w:r>
      <w:r w:rsidRPr="00AA773D">
        <w:rPr>
          <w:rFonts w:ascii="Arial" w:hAnsi="Arial" w:cs="Arial"/>
          <w:spacing w:val="32"/>
        </w:rPr>
        <w:t>Sadzi</w:t>
      </w:r>
      <w:r w:rsidRPr="004B7E04">
        <w:rPr>
          <w:rFonts w:ascii="Arial" w:hAnsi="Arial" w:cs="Arial"/>
        </w:rPr>
        <w:t xml:space="preserve">k, K. </w:t>
      </w:r>
      <w:r w:rsidRPr="00AA773D">
        <w:rPr>
          <w:rFonts w:ascii="Arial" w:hAnsi="Arial" w:cs="Arial"/>
          <w:spacing w:val="32"/>
        </w:rPr>
        <w:t>Zgryze</w:t>
      </w:r>
      <w:r w:rsidRPr="004B7E04">
        <w:rPr>
          <w:rFonts w:ascii="Arial" w:hAnsi="Arial" w:cs="Arial"/>
        </w:rPr>
        <w:t>k</w:t>
      </w:r>
      <w:r>
        <w:rPr>
          <w:rFonts w:ascii="Arial" w:hAnsi="Arial" w:cs="Arial"/>
        </w:rPr>
        <w:t>,</w:t>
      </w:r>
      <w:r w:rsidRPr="004B7E04">
        <w:rPr>
          <w:rFonts w:ascii="Arial" w:hAnsi="Arial" w:cs="Arial"/>
        </w:rPr>
        <w:t xml:space="preserve"> </w:t>
      </w:r>
      <w:r w:rsidRPr="00554DA7">
        <w:rPr>
          <w:rFonts w:ascii="Arial" w:hAnsi="Arial" w:cs="Arial"/>
          <w:spacing w:val="2"/>
        </w:rPr>
        <w:t>Kodeks postępowania karnego…, t. II, s.</w:t>
      </w:r>
      <w:r>
        <w:rPr>
          <w:rFonts w:ascii="Arial" w:hAnsi="Arial" w:cs="Arial"/>
          <w:spacing w:val="2"/>
        </w:rPr>
        <w:t> </w:t>
      </w:r>
      <w:r w:rsidRPr="00554DA7">
        <w:rPr>
          <w:rFonts w:ascii="Arial" w:hAnsi="Arial" w:cs="Arial"/>
          <w:spacing w:val="2"/>
        </w:rPr>
        <w:t>126–127</w:t>
      </w:r>
      <w:r>
        <w:rPr>
          <w:rFonts w:ascii="Arial" w:hAnsi="Arial" w:cs="Arial"/>
          <w:spacing w:val="2"/>
        </w:rPr>
        <w:t>; zob. też</w:t>
      </w:r>
      <w:r w:rsidRPr="004B7E04">
        <w:rPr>
          <w:rFonts w:ascii="Arial" w:hAnsi="Arial" w:cs="Arial"/>
        </w:rPr>
        <w:t xml:space="preserve"> postanowienie SA w Katowicach z dnia 5 grudnia 2001</w:t>
      </w:r>
      <w:r>
        <w:rPr>
          <w:rFonts w:ascii="Arial" w:hAnsi="Arial" w:cs="Arial"/>
        </w:rPr>
        <w:t xml:space="preserve"> </w:t>
      </w:r>
      <w:r w:rsidRPr="004B7E04">
        <w:rPr>
          <w:rFonts w:ascii="Arial" w:hAnsi="Arial" w:cs="Arial"/>
        </w:rPr>
        <w:t xml:space="preserve">r., </w:t>
      </w:r>
      <w:r>
        <w:rPr>
          <w:rFonts w:ascii="Arial" w:hAnsi="Arial" w:cs="Arial"/>
        </w:rPr>
        <w:t xml:space="preserve">sygn. </w:t>
      </w:r>
      <w:r w:rsidRPr="004B7E04">
        <w:rPr>
          <w:rFonts w:ascii="Arial" w:hAnsi="Arial" w:cs="Arial"/>
        </w:rPr>
        <w:t>V AKz 1002/01, KZS 2002, nr 4, poz. 60.</w:t>
      </w:r>
    </w:p>
  </w:footnote>
  <w:footnote w:id="53">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S. </w:t>
      </w:r>
      <w:r w:rsidRPr="00AA773D">
        <w:rPr>
          <w:rFonts w:ascii="Arial" w:hAnsi="Arial" w:cs="Arial"/>
          <w:spacing w:val="32"/>
        </w:rPr>
        <w:t>Wyciszcza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sidRPr="004B7E04">
        <w:rPr>
          <w:rFonts w:ascii="Arial" w:hAnsi="Arial" w:cs="Arial"/>
        </w:rPr>
        <w:t>...</w:t>
      </w:r>
      <w:r>
        <w:rPr>
          <w:rFonts w:ascii="Arial" w:hAnsi="Arial" w:cs="Arial"/>
        </w:rPr>
        <w:t xml:space="preserve">, s. </w:t>
      </w:r>
      <w:r w:rsidRPr="004B7E04">
        <w:rPr>
          <w:rFonts w:ascii="Arial" w:hAnsi="Arial" w:cs="Arial"/>
        </w:rPr>
        <w:t>99.</w:t>
      </w:r>
    </w:p>
  </w:footnote>
  <w:footnote w:id="54">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F. </w:t>
      </w:r>
      <w:r w:rsidRPr="00AA773D">
        <w:rPr>
          <w:rFonts w:ascii="Arial" w:hAnsi="Arial" w:cs="Arial"/>
          <w:spacing w:val="32"/>
        </w:rPr>
        <w:t>Prusa</w:t>
      </w:r>
      <w:r w:rsidRPr="004B7E04">
        <w:rPr>
          <w:rFonts w:ascii="Arial" w:hAnsi="Arial" w:cs="Arial"/>
        </w:rPr>
        <w:t>k</w:t>
      </w:r>
      <w:r>
        <w:rPr>
          <w:rFonts w:ascii="Arial" w:hAnsi="Arial" w:cs="Arial"/>
        </w:rPr>
        <w:t>,</w:t>
      </w:r>
      <w:r w:rsidRPr="004B7E04">
        <w:rPr>
          <w:rFonts w:ascii="Arial" w:hAnsi="Arial" w:cs="Arial"/>
        </w:rPr>
        <w:t xml:space="preserve"> </w:t>
      </w:r>
      <w:r w:rsidRPr="004B7E04">
        <w:rPr>
          <w:rFonts w:ascii="Arial" w:hAnsi="Arial" w:cs="Arial"/>
          <w:iCs/>
        </w:rPr>
        <w:t>Zamknięcie</w:t>
      </w:r>
      <w:r w:rsidRPr="004B7E04">
        <w:rPr>
          <w:rFonts w:ascii="Arial" w:hAnsi="Arial" w:cs="Arial"/>
        </w:rPr>
        <w:t>..., s. 434.</w:t>
      </w:r>
    </w:p>
  </w:footnote>
  <w:footnote w:id="55">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Z. </w:t>
      </w:r>
      <w:r w:rsidRPr="00AA773D">
        <w:rPr>
          <w:rFonts w:ascii="Arial" w:hAnsi="Arial" w:cs="Arial"/>
          <w:spacing w:val="32"/>
        </w:rPr>
        <w:t>Młynarczy</w:t>
      </w:r>
      <w:r w:rsidRPr="004B7E04">
        <w:rPr>
          <w:rFonts w:ascii="Arial" w:hAnsi="Arial" w:cs="Arial"/>
        </w:rPr>
        <w:t>k</w:t>
      </w:r>
      <w:r>
        <w:rPr>
          <w:rFonts w:ascii="Arial" w:hAnsi="Arial" w:cs="Arial"/>
        </w:rPr>
        <w:t>,</w:t>
      </w:r>
      <w:r w:rsidRPr="004B7E04">
        <w:rPr>
          <w:rFonts w:ascii="Arial" w:hAnsi="Arial" w:cs="Arial"/>
        </w:rPr>
        <w:t xml:space="preserve"> Przedstawienie zarzutów</w:t>
      </w:r>
      <w:r>
        <w:rPr>
          <w:rFonts w:ascii="Arial" w:hAnsi="Arial" w:cs="Arial"/>
        </w:rPr>
        <w:t xml:space="preserve">…, s. </w:t>
      </w:r>
      <w:r w:rsidRPr="004B7E04">
        <w:rPr>
          <w:rFonts w:ascii="Arial" w:hAnsi="Arial" w:cs="Arial"/>
        </w:rPr>
        <w:t>140.</w:t>
      </w:r>
    </w:p>
  </w:footnote>
  <w:footnote w:id="56">
    <w:p w:rsidR="005E3422" w:rsidRPr="004B7E04" w:rsidRDefault="005E3422" w:rsidP="00FD03C3">
      <w:pPr>
        <w:pStyle w:val="przypisy"/>
        <w:ind w:left="170" w:hanging="170"/>
        <w:rPr>
          <w:rFonts w:ascii="Arial" w:hAnsi="Arial" w:cs="Arial"/>
        </w:rPr>
      </w:pPr>
      <w:r w:rsidRPr="004B7E04">
        <w:rPr>
          <w:rStyle w:val="Odwoanieprzypisudolnego"/>
          <w:rFonts w:ascii="Arial" w:hAnsi="Arial" w:cs="Arial"/>
          <w:szCs w:val="17"/>
        </w:rPr>
        <w:footnoteRef/>
      </w:r>
      <w:r w:rsidRPr="004B7E04">
        <w:rPr>
          <w:rFonts w:ascii="Arial" w:hAnsi="Arial" w:cs="Arial"/>
        </w:rPr>
        <w:t xml:space="preserve"> </w:t>
      </w:r>
      <w:r>
        <w:rPr>
          <w:rFonts w:ascii="Arial" w:hAnsi="Arial" w:cs="Arial"/>
        </w:rPr>
        <w:tab/>
      </w:r>
      <w:r w:rsidRPr="004B7E04">
        <w:rPr>
          <w:rFonts w:ascii="Arial" w:hAnsi="Arial" w:cs="Arial"/>
        </w:rPr>
        <w:t xml:space="preserve">Postanowienie SN z dnia 12 sierpnia 1983 </w:t>
      </w:r>
      <w:r>
        <w:rPr>
          <w:rFonts w:ascii="Arial" w:hAnsi="Arial" w:cs="Arial"/>
        </w:rPr>
        <w:t>r., sygn. I</w:t>
      </w:r>
      <w:r w:rsidRPr="004B7E04">
        <w:rPr>
          <w:rFonts w:ascii="Arial" w:hAnsi="Arial" w:cs="Arial"/>
        </w:rPr>
        <w:t xml:space="preserve">V K 286/83, z omówieniem S. </w:t>
      </w:r>
      <w:r w:rsidRPr="00AA773D">
        <w:rPr>
          <w:rFonts w:ascii="Arial" w:hAnsi="Arial" w:cs="Arial"/>
          <w:spacing w:val="32"/>
        </w:rPr>
        <w:t>K</w:t>
      </w:r>
      <w:r w:rsidRPr="00AA773D">
        <w:rPr>
          <w:rFonts w:ascii="Arial" w:hAnsi="Arial" w:cs="Arial"/>
          <w:spacing w:val="32"/>
        </w:rPr>
        <w:t>a</w:t>
      </w:r>
      <w:r w:rsidRPr="00AA773D">
        <w:rPr>
          <w:rFonts w:ascii="Arial" w:hAnsi="Arial" w:cs="Arial"/>
          <w:spacing w:val="32"/>
        </w:rPr>
        <w:t>niewskieg</w:t>
      </w:r>
      <w:r w:rsidRPr="004B7E04">
        <w:rPr>
          <w:rFonts w:ascii="Arial" w:hAnsi="Arial" w:cs="Arial"/>
        </w:rPr>
        <w:t xml:space="preserve">o, </w:t>
      </w:r>
      <w:r>
        <w:rPr>
          <w:rFonts w:ascii="Arial" w:hAnsi="Arial" w:cs="Arial"/>
        </w:rPr>
        <w:t>Probl. Praw.</w:t>
      </w:r>
      <w:r w:rsidRPr="004B7E04">
        <w:rPr>
          <w:rFonts w:ascii="Arial" w:hAnsi="Arial" w:cs="Arial"/>
        </w:rPr>
        <w:t xml:space="preserve"> 1983, nr 12, s. 64–66.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22" w:rsidRDefault="005E3422">
    <w:pPr>
      <w:pStyle w:val="Nagwek"/>
      <w:pBdr>
        <w:bottom w:val="single" w:sz="8" w:space="1" w:color="000000"/>
      </w:pBdr>
      <w:jc w:val="right"/>
      <w:rPr>
        <w:rFonts w:ascii="Arial" w:hAnsi="Arial"/>
        <w:i/>
        <w:sz w:val="18"/>
      </w:rPr>
    </w:pPr>
    <w:r>
      <w:rPr>
        <w:rFonts w:ascii="Arial" w:hAnsi="Arial"/>
        <w:i/>
        <w:sz w:val="18"/>
      </w:rPr>
      <w:t>R. A. Stefański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22" w:rsidRPr="00535125" w:rsidRDefault="005E3422">
    <w:pPr>
      <w:pStyle w:val="Nagwek"/>
      <w:pBdr>
        <w:bottom w:val="single" w:sz="8" w:space="1" w:color="000000"/>
      </w:pBdr>
      <w:rPr>
        <w:rFonts w:ascii="Arial" w:hAnsi="Arial" w:cs="Arial"/>
        <w:i/>
        <w:sz w:val="18"/>
        <w:szCs w:val="18"/>
      </w:rPr>
    </w:pPr>
    <w:r w:rsidRPr="00FD03C3">
      <w:rPr>
        <w:rFonts w:ascii="Arial" w:hAnsi="Arial" w:cs="Arial"/>
        <w:i/>
        <w:sz w:val="18"/>
        <w:szCs w:val="18"/>
      </w:rPr>
      <w:t>Końcowe zapoznanie z materiałami postępowania przygotowawcz</w:t>
    </w:r>
    <w:r w:rsidRPr="00FD03C3">
      <w:rPr>
        <w:rFonts w:ascii="Arial" w:hAnsi="Arial" w:cs="Arial"/>
        <w:i/>
        <w:sz w:val="18"/>
        <w:szCs w:val="18"/>
      </w:rPr>
      <w:t>e</w:t>
    </w:r>
    <w:r w:rsidRPr="00FD03C3">
      <w:rPr>
        <w:rFonts w:ascii="Arial" w:hAnsi="Arial" w:cs="Arial"/>
        <w:i/>
        <w:sz w:val="18"/>
        <w:szCs w:val="18"/>
      </w:rPr>
      <w:t>go</w:t>
    </w:r>
    <w:r w:rsidRPr="00535125">
      <w:rPr>
        <w:rFonts w:ascii="Arial" w:hAnsi="Arial" w:cs="Arial"/>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1004"/>
        </w:tabs>
        <w:ind w:left="1004" w:hanging="360"/>
      </w:pPr>
      <w:rPr>
        <w:rFonts w:ascii="Symbol" w:hAnsi="Symbol"/>
      </w:rPr>
    </w:lvl>
  </w:abstractNum>
  <w:abstractNum w:abstractNumId="1">
    <w:nsid w:val="00000002"/>
    <w:multiLevelType w:val="singleLevel"/>
    <w:tmpl w:val="00000002"/>
    <w:name w:val="WW8Num4"/>
    <w:lvl w:ilvl="0">
      <w:start w:val="1"/>
      <w:numFmt w:val="bullet"/>
      <w:lvlText w:val=""/>
      <w:lvlJc w:val="left"/>
      <w:pPr>
        <w:tabs>
          <w:tab w:val="num" w:pos="1004"/>
        </w:tabs>
        <w:ind w:left="1004" w:hanging="360"/>
      </w:pPr>
      <w:rPr>
        <w:rFonts w:ascii="Symbol" w:hAnsi="Symbol"/>
      </w:rPr>
    </w:lvl>
  </w:abstractNum>
  <w:abstractNum w:abstractNumId="2">
    <w:nsid w:val="00000003"/>
    <w:multiLevelType w:val="singleLevel"/>
    <w:tmpl w:val="00000003"/>
    <w:name w:val="WW8Num19"/>
    <w:lvl w:ilvl="0">
      <w:start w:val="1"/>
      <w:numFmt w:val="bullet"/>
      <w:lvlText w:val=""/>
      <w:lvlJc w:val="left"/>
      <w:pPr>
        <w:tabs>
          <w:tab w:val="num" w:pos="1004"/>
        </w:tabs>
        <w:ind w:left="1004" w:hanging="360"/>
      </w:pPr>
      <w:rPr>
        <w:rFonts w:ascii="Symbol" w:hAnsi="Symbol"/>
      </w:rPr>
    </w:lvl>
  </w:abstractNum>
  <w:abstractNum w:abstractNumId="3">
    <w:nsid w:val="00000004"/>
    <w:multiLevelType w:val="singleLevel"/>
    <w:tmpl w:val="00000004"/>
    <w:name w:val="WW8Num20"/>
    <w:lvl w:ilvl="0">
      <w:start w:val="1"/>
      <w:numFmt w:val="bullet"/>
      <w:lvlText w:val=""/>
      <w:lvlJc w:val="left"/>
      <w:pPr>
        <w:tabs>
          <w:tab w:val="num" w:pos="1004"/>
        </w:tabs>
        <w:ind w:left="1004" w:hanging="360"/>
      </w:pPr>
      <w:rPr>
        <w:rFonts w:ascii="Symbol" w:hAnsi="Symbol"/>
      </w:rPr>
    </w:lvl>
  </w:abstractNum>
  <w:abstractNum w:abstractNumId="4">
    <w:nsid w:val="00000005"/>
    <w:multiLevelType w:val="singleLevel"/>
    <w:tmpl w:val="00000005"/>
    <w:name w:val="WW8Num22"/>
    <w:lvl w:ilvl="0">
      <w:start w:val="1"/>
      <w:numFmt w:val="bullet"/>
      <w:lvlText w:val=""/>
      <w:lvlJc w:val="left"/>
      <w:pPr>
        <w:tabs>
          <w:tab w:val="num" w:pos="1004"/>
        </w:tabs>
        <w:ind w:left="1004" w:hanging="360"/>
      </w:pPr>
      <w:rPr>
        <w:rFonts w:ascii="Symbol" w:hAnsi="Symbol"/>
      </w:rPr>
    </w:lvl>
  </w:abstractNum>
  <w:abstractNum w:abstractNumId="5">
    <w:nsid w:val="00000006"/>
    <w:multiLevelType w:val="singleLevel"/>
    <w:tmpl w:val="00000006"/>
    <w:name w:val="WW8Num41"/>
    <w:lvl w:ilvl="0">
      <w:start w:val="1"/>
      <w:numFmt w:val="bullet"/>
      <w:lvlText w:val=""/>
      <w:lvlJc w:val="left"/>
      <w:pPr>
        <w:tabs>
          <w:tab w:val="num" w:pos="1004"/>
        </w:tabs>
        <w:ind w:left="1004" w:hanging="360"/>
      </w:pPr>
      <w:rPr>
        <w:rFonts w:ascii="Symbol" w:hAnsi="Symbol"/>
      </w:rPr>
    </w:lvl>
  </w:abstractNum>
  <w:abstractNum w:abstractNumId="6">
    <w:nsid w:val="00000007"/>
    <w:multiLevelType w:val="singleLevel"/>
    <w:tmpl w:val="00000007"/>
    <w:name w:val="WW8Num44"/>
    <w:lvl w:ilvl="0">
      <w:start w:val="1"/>
      <w:numFmt w:val="lowerLetter"/>
      <w:lvlText w:val="%1)"/>
      <w:lvlJc w:val="left"/>
      <w:pPr>
        <w:tabs>
          <w:tab w:val="num" w:pos="644"/>
        </w:tabs>
        <w:ind w:left="644" w:hanging="360"/>
      </w:pPr>
    </w:lvl>
  </w:abstractNum>
  <w:abstractNum w:abstractNumId="7">
    <w:nsid w:val="00000008"/>
    <w:multiLevelType w:val="singleLevel"/>
    <w:tmpl w:val="00000008"/>
    <w:name w:val="WW8Num45"/>
    <w:lvl w:ilvl="0">
      <w:start w:val="1"/>
      <w:numFmt w:val="bullet"/>
      <w:lvlText w:val=""/>
      <w:lvlJc w:val="left"/>
      <w:pPr>
        <w:tabs>
          <w:tab w:val="num" w:pos="1004"/>
        </w:tabs>
        <w:ind w:left="1004" w:hanging="360"/>
      </w:pPr>
      <w:rPr>
        <w:rFonts w:ascii="Symbol" w:hAnsi="Symbol"/>
      </w:rPr>
    </w:lvl>
  </w:abstractNum>
  <w:abstractNum w:abstractNumId="8">
    <w:nsid w:val="0D412C6F"/>
    <w:multiLevelType w:val="hybridMultilevel"/>
    <w:tmpl w:val="940E728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44FA63EE"/>
    <w:multiLevelType w:val="hybridMultilevel"/>
    <w:tmpl w:val="21E25060"/>
    <w:lvl w:ilvl="0" w:tplc="CC440258">
      <w:start w:val="1"/>
      <w:numFmt w:val="decimal"/>
      <w:lvlText w:val="%1)"/>
      <w:lvlJc w:val="left"/>
      <w:pPr>
        <w:tabs>
          <w:tab w:val="num" w:pos="929"/>
        </w:tabs>
        <w:ind w:left="929" w:hanging="585"/>
      </w:pPr>
      <w:rPr>
        <w:rFonts w:hint="default"/>
      </w:rPr>
    </w:lvl>
    <w:lvl w:ilvl="1" w:tplc="04150019" w:tentative="1">
      <w:start w:val="1"/>
      <w:numFmt w:val="lowerLetter"/>
      <w:lvlText w:val="%2."/>
      <w:lvlJc w:val="left"/>
      <w:pPr>
        <w:tabs>
          <w:tab w:val="num" w:pos="1424"/>
        </w:tabs>
        <w:ind w:left="1424" w:hanging="360"/>
      </w:pPr>
    </w:lvl>
    <w:lvl w:ilvl="2" w:tplc="0415001B" w:tentative="1">
      <w:start w:val="1"/>
      <w:numFmt w:val="lowerRoman"/>
      <w:lvlText w:val="%3."/>
      <w:lvlJc w:val="right"/>
      <w:pPr>
        <w:tabs>
          <w:tab w:val="num" w:pos="2144"/>
        </w:tabs>
        <w:ind w:left="2144" w:hanging="180"/>
      </w:pPr>
    </w:lvl>
    <w:lvl w:ilvl="3" w:tplc="0415000F" w:tentative="1">
      <w:start w:val="1"/>
      <w:numFmt w:val="decimal"/>
      <w:lvlText w:val="%4."/>
      <w:lvlJc w:val="left"/>
      <w:pPr>
        <w:tabs>
          <w:tab w:val="num" w:pos="2864"/>
        </w:tabs>
        <w:ind w:left="2864" w:hanging="360"/>
      </w:pPr>
    </w:lvl>
    <w:lvl w:ilvl="4" w:tplc="04150019" w:tentative="1">
      <w:start w:val="1"/>
      <w:numFmt w:val="lowerLetter"/>
      <w:lvlText w:val="%5."/>
      <w:lvlJc w:val="left"/>
      <w:pPr>
        <w:tabs>
          <w:tab w:val="num" w:pos="3584"/>
        </w:tabs>
        <w:ind w:left="3584" w:hanging="360"/>
      </w:pPr>
    </w:lvl>
    <w:lvl w:ilvl="5" w:tplc="0415001B" w:tentative="1">
      <w:start w:val="1"/>
      <w:numFmt w:val="lowerRoman"/>
      <w:lvlText w:val="%6."/>
      <w:lvlJc w:val="right"/>
      <w:pPr>
        <w:tabs>
          <w:tab w:val="num" w:pos="4304"/>
        </w:tabs>
        <w:ind w:left="4304" w:hanging="180"/>
      </w:pPr>
    </w:lvl>
    <w:lvl w:ilvl="6" w:tplc="0415000F" w:tentative="1">
      <w:start w:val="1"/>
      <w:numFmt w:val="decimal"/>
      <w:lvlText w:val="%7."/>
      <w:lvlJc w:val="left"/>
      <w:pPr>
        <w:tabs>
          <w:tab w:val="num" w:pos="5024"/>
        </w:tabs>
        <w:ind w:left="5024" w:hanging="360"/>
      </w:pPr>
    </w:lvl>
    <w:lvl w:ilvl="7" w:tplc="04150019" w:tentative="1">
      <w:start w:val="1"/>
      <w:numFmt w:val="lowerLetter"/>
      <w:lvlText w:val="%8."/>
      <w:lvlJc w:val="left"/>
      <w:pPr>
        <w:tabs>
          <w:tab w:val="num" w:pos="5744"/>
        </w:tabs>
        <w:ind w:left="5744" w:hanging="360"/>
      </w:pPr>
    </w:lvl>
    <w:lvl w:ilvl="8" w:tplc="0415001B" w:tentative="1">
      <w:start w:val="1"/>
      <w:numFmt w:val="lowerRoman"/>
      <w:lvlText w:val="%9."/>
      <w:lvlJc w:val="right"/>
      <w:pPr>
        <w:tabs>
          <w:tab w:val="num" w:pos="6464"/>
        </w:tabs>
        <w:ind w:left="6464" w:hanging="180"/>
      </w:pPr>
    </w:lvl>
  </w:abstractNum>
  <w:abstractNum w:abstractNumId="10">
    <w:nsid w:val="5E87338C"/>
    <w:multiLevelType w:val="hybridMultilevel"/>
    <w:tmpl w:val="6CA221B0"/>
    <w:lvl w:ilvl="0" w:tplc="C39CF056">
      <w:start w:val="1"/>
      <w:numFmt w:val="bullet"/>
      <w:lvlText w:val="-"/>
      <w:lvlJc w:val="left"/>
      <w:pPr>
        <w:tabs>
          <w:tab w:val="num" w:pos="720"/>
        </w:tabs>
        <w:ind w:left="720" w:hanging="360"/>
      </w:pPr>
      <w:rPr>
        <w:rFonts w:ascii="Times New Roman" w:hAnsi="Times New Roman" w:hint="default"/>
      </w:rPr>
    </w:lvl>
    <w:lvl w:ilvl="1" w:tplc="A28C762A">
      <w:start w:val="576"/>
      <w:numFmt w:val="bullet"/>
      <w:lvlText w:val=""/>
      <w:lvlJc w:val="left"/>
      <w:pPr>
        <w:tabs>
          <w:tab w:val="num" w:pos="1440"/>
        </w:tabs>
        <w:ind w:left="1440" w:hanging="360"/>
      </w:pPr>
      <w:rPr>
        <w:rFonts w:ascii="Wingdings" w:hAnsi="Wingdings" w:hint="default"/>
      </w:rPr>
    </w:lvl>
    <w:lvl w:ilvl="2" w:tplc="888E253C" w:tentative="1">
      <w:start w:val="1"/>
      <w:numFmt w:val="bullet"/>
      <w:lvlText w:val="-"/>
      <w:lvlJc w:val="left"/>
      <w:pPr>
        <w:tabs>
          <w:tab w:val="num" w:pos="2160"/>
        </w:tabs>
        <w:ind w:left="2160" w:hanging="360"/>
      </w:pPr>
      <w:rPr>
        <w:rFonts w:ascii="Times New Roman" w:hAnsi="Times New Roman" w:hint="default"/>
      </w:rPr>
    </w:lvl>
    <w:lvl w:ilvl="3" w:tplc="E8C803E6" w:tentative="1">
      <w:start w:val="1"/>
      <w:numFmt w:val="bullet"/>
      <w:lvlText w:val="-"/>
      <w:lvlJc w:val="left"/>
      <w:pPr>
        <w:tabs>
          <w:tab w:val="num" w:pos="2880"/>
        </w:tabs>
        <w:ind w:left="2880" w:hanging="360"/>
      </w:pPr>
      <w:rPr>
        <w:rFonts w:ascii="Times New Roman" w:hAnsi="Times New Roman" w:hint="default"/>
      </w:rPr>
    </w:lvl>
    <w:lvl w:ilvl="4" w:tplc="08E49564" w:tentative="1">
      <w:start w:val="1"/>
      <w:numFmt w:val="bullet"/>
      <w:lvlText w:val="-"/>
      <w:lvlJc w:val="left"/>
      <w:pPr>
        <w:tabs>
          <w:tab w:val="num" w:pos="3600"/>
        </w:tabs>
        <w:ind w:left="3600" w:hanging="360"/>
      </w:pPr>
      <w:rPr>
        <w:rFonts w:ascii="Times New Roman" w:hAnsi="Times New Roman" w:hint="default"/>
      </w:rPr>
    </w:lvl>
    <w:lvl w:ilvl="5" w:tplc="B722179A" w:tentative="1">
      <w:start w:val="1"/>
      <w:numFmt w:val="bullet"/>
      <w:lvlText w:val="-"/>
      <w:lvlJc w:val="left"/>
      <w:pPr>
        <w:tabs>
          <w:tab w:val="num" w:pos="4320"/>
        </w:tabs>
        <w:ind w:left="4320" w:hanging="360"/>
      </w:pPr>
      <w:rPr>
        <w:rFonts w:ascii="Times New Roman" w:hAnsi="Times New Roman" w:hint="default"/>
      </w:rPr>
    </w:lvl>
    <w:lvl w:ilvl="6" w:tplc="B0645A28" w:tentative="1">
      <w:start w:val="1"/>
      <w:numFmt w:val="bullet"/>
      <w:lvlText w:val="-"/>
      <w:lvlJc w:val="left"/>
      <w:pPr>
        <w:tabs>
          <w:tab w:val="num" w:pos="5040"/>
        </w:tabs>
        <w:ind w:left="5040" w:hanging="360"/>
      </w:pPr>
      <w:rPr>
        <w:rFonts w:ascii="Times New Roman" w:hAnsi="Times New Roman" w:hint="default"/>
      </w:rPr>
    </w:lvl>
    <w:lvl w:ilvl="7" w:tplc="4D5AFA9E" w:tentative="1">
      <w:start w:val="1"/>
      <w:numFmt w:val="bullet"/>
      <w:lvlText w:val="-"/>
      <w:lvlJc w:val="left"/>
      <w:pPr>
        <w:tabs>
          <w:tab w:val="num" w:pos="5760"/>
        </w:tabs>
        <w:ind w:left="5760" w:hanging="360"/>
      </w:pPr>
      <w:rPr>
        <w:rFonts w:ascii="Times New Roman" w:hAnsi="Times New Roman" w:hint="default"/>
      </w:rPr>
    </w:lvl>
    <w:lvl w:ilvl="8" w:tplc="1B6687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63B2068"/>
    <w:multiLevelType w:val="hybridMultilevel"/>
    <w:tmpl w:val="E2743466"/>
    <w:lvl w:ilvl="0" w:tplc="0415000F">
      <w:start w:val="1"/>
      <w:numFmt w:val="decimal"/>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nsid w:val="7B1F32DB"/>
    <w:multiLevelType w:val="hybridMultilevel"/>
    <w:tmpl w:val="D13EB39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7B42635B"/>
    <w:multiLevelType w:val="hybridMultilevel"/>
    <w:tmpl w:val="B8A89ADC"/>
    <w:lvl w:ilvl="0" w:tplc="48681E1A">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abstractNumId w:val="10"/>
  </w:num>
  <w:num w:numId="2">
    <w:abstractNumId w:val="12"/>
  </w:num>
  <w:num w:numId="3">
    <w:abstractNumId w:val="8"/>
  </w:num>
  <w:num w:numId="4">
    <w:abstractNumId w:val="11"/>
  </w:num>
  <w:num w:numId="5">
    <w:abstractNumId w:val="9"/>
  </w:num>
  <w:num w:numId="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3F01"/>
  <w:defaultTabStop w:val="709"/>
  <w:autoHyphenation/>
  <w:hyphenationZone w:val="357"/>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6481"/>
    <w:rsid w:val="000379F5"/>
    <w:rsid w:val="000429C7"/>
    <w:rsid w:val="0005112E"/>
    <w:rsid w:val="000641AA"/>
    <w:rsid w:val="00067975"/>
    <w:rsid w:val="00071A37"/>
    <w:rsid w:val="0007261B"/>
    <w:rsid w:val="00072B32"/>
    <w:rsid w:val="00073520"/>
    <w:rsid w:val="000766AF"/>
    <w:rsid w:val="0008068F"/>
    <w:rsid w:val="00082FFA"/>
    <w:rsid w:val="00090E5A"/>
    <w:rsid w:val="000A701E"/>
    <w:rsid w:val="000C133A"/>
    <w:rsid w:val="000C1CD9"/>
    <w:rsid w:val="000E02B4"/>
    <w:rsid w:val="000E51B2"/>
    <w:rsid w:val="000F6C45"/>
    <w:rsid w:val="0010233C"/>
    <w:rsid w:val="0010381A"/>
    <w:rsid w:val="00114205"/>
    <w:rsid w:val="0012677E"/>
    <w:rsid w:val="00126A6E"/>
    <w:rsid w:val="001472CA"/>
    <w:rsid w:val="00147D4D"/>
    <w:rsid w:val="00150E34"/>
    <w:rsid w:val="00152659"/>
    <w:rsid w:val="00155648"/>
    <w:rsid w:val="00155650"/>
    <w:rsid w:val="001572E9"/>
    <w:rsid w:val="0016280F"/>
    <w:rsid w:val="00167C1A"/>
    <w:rsid w:val="00170A10"/>
    <w:rsid w:val="00174511"/>
    <w:rsid w:val="0017745F"/>
    <w:rsid w:val="00184EEA"/>
    <w:rsid w:val="001A66A9"/>
    <w:rsid w:val="001A743E"/>
    <w:rsid w:val="001D611B"/>
    <w:rsid w:val="001F77FF"/>
    <w:rsid w:val="002027D5"/>
    <w:rsid w:val="00203865"/>
    <w:rsid w:val="00221E0F"/>
    <w:rsid w:val="00270366"/>
    <w:rsid w:val="00270EAC"/>
    <w:rsid w:val="00287888"/>
    <w:rsid w:val="0029114A"/>
    <w:rsid w:val="002A5540"/>
    <w:rsid w:val="002A7FEB"/>
    <w:rsid w:val="002B720E"/>
    <w:rsid w:val="002C6237"/>
    <w:rsid w:val="002D3CC5"/>
    <w:rsid w:val="002E2821"/>
    <w:rsid w:val="002E7CA3"/>
    <w:rsid w:val="002F49F8"/>
    <w:rsid w:val="002F5AF6"/>
    <w:rsid w:val="00306456"/>
    <w:rsid w:val="00311917"/>
    <w:rsid w:val="00317575"/>
    <w:rsid w:val="00317E5A"/>
    <w:rsid w:val="003404C5"/>
    <w:rsid w:val="00342F6B"/>
    <w:rsid w:val="0034475C"/>
    <w:rsid w:val="00350D0F"/>
    <w:rsid w:val="003548FD"/>
    <w:rsid w:val="00356421"/>
    <w:rsid w:val="003769A4"/>
    <w:rsid w:val="003803CB"/>
    <w:rsid w:val="003820A1"/>
    <w:rsid w:val="00382561"/>
    <w:rsid w:val="0038338B"/>
    <w:rsid w:val="003904BE"/>
    <w:rsid w:val="00395197"/>
    <w:rsid w:val="003B06DF"/>
    <w:rsid w:val="003B76BB"/>
    <w:rsid w:val="003D22AE"/>
    <w:rsid w:val="003D5393"/>
    <w:rsid w:val="003F0E90"/>
    <w:rsid w:val="00400489"/>
    <w:rsid w:val="00405D41"/>
    <w:rsid w:val="0040666F"/>
    <w:rsid w:val="0041264E"/>
    <w:rsid w:val="0042016E"/>
    <w:rsid w:val="00420EC4"/>
    <w:rsid w:val="00421BF8"/>
    <w:rsid w:val="00426DED"/>
    <w:rsid w:val="0043071E"/>
    <w:rsid w:val="00437F64"/>
    <w:rsid w:val="00446E08"/>
    <w:rsid w:val="004618CC"/>
    <w:rsid w:val="00464E81"/>
    <w:rsid w:val="00482004"/>
    <w:rsid w:val="00493937"/>
    <w:rsid w:val="004A4591"/>
    <w:rsid w:val="004A5020"/>
    <w:rsid w:val="004B3094"/>
    <w:rsid w:val="004B344F"/>
    <w:rsid w:val="004B36CF"/>
    <w:rsid w:val="004B7E04"/>
    <w:rsid w:val="004C3B6B"/>
    <w:rsid w:val="004D023A"/>
    <w:rsid w:val="004D5DEE"/>
    <w:rsid w:val="004E29A3"/>
    <w:rsid w:val="004E531F"/>
    <w:rsid w:val="004E75BF"/>
    <w:rsid w:val="004F5C3C"/>
    <w:rsid w:val="005034C3"/>
    <w:rsid w:val="00503699"/>
    <w:rsid w:val="00514E1F"/>
    <w:rsid w:val="00515E1C"/>
    <w:rsid w:val="0052130A"/>
    <w:rsid w:val="00532B8F"/>
    <w:rsid w:val="00535125"/>
    <w:rsid w:val="00544317"/>
    <w:rsid w:val="00544578"/>
    <w:rsid w:val="00554DA7"/>
    <w:rsid w:val="00562718"/>
    <w:rsid w:val="0056756A"/>
    <w:rsid w:val="0056767E"/>
    <w:rsid w:val="00587A7E"/>
    <w:rsid w:val="005B1721"/>
    <w:rsid w:val="005B31E8"/>
    <w:rsid w:val="005C3405"/>
    <w:rsid w:val="005C4382"/>
    <w:rsid w:val="005D028A"/>
    <w:rsid w:val="005D543F"/>
    <w:rsid w:val="005D54EF"/>
    <w:rsid w:val="005E105D"/>
    <w:rsid w:val="005E3422"/>
    <w:rsid w:val="005F7EF3"/>
    <w:rsid w:val="0060120C"/>
    <w:rsid w:val="00607A95"/>
    <w:rsid w:val="00611DFE"/>
    <w:rsid w:val="006148B8"/>
    <w:rsid w:val="006209BA"/>
    <w:rsid w:val="00640723"/>
    <w:rsid w:val="00646F37"/>
    <w:rsid w:val="00650512"/>
    <w:rsid w:val="00652C78"/>
    <w:rsid w:val="006536CC"/>
    <w:rsid w:val="00660070"/>
    <w:rsid w:val="006737AA"/>
    <w:rsid w:val="00675CF7"/>
    <w:rsid w:val="00677F55"/>
    <w:rsid w:val="00684D4A"/>
    <w:rsid w:val="00687E76"/>
    <w:rsid w:val="00695E65"/>
    <w:rsid w:val="006A334B"/>
    <w:rsid w:val="006A731E"/>
    <w:rsid w:val="006B5F02"/>
    <w:rsid w:val="006B630A"/>
    <w:rsid w:val="006C0B5C"/>
    <w:rsid w:val="006C6727"/>
    <w:rsid w:val="006C6E29"/>
    <w:rsid w:val="00700D96"/>
    <w:rsid w:val="00703636"/>
    <w:rsid w:val="007122E7"/>
    <w:rsid w:val="00766ADC"/>
    <w:rsid w:val="007948FB"/>
    <w:rsid w:val="007A5F6E"/>
    <w:rsid w:val="007A671A"/>
    <w:rsid w:val="007B3E8E"/>
    <w:rsid w:val="007B7508"/>
    <w:rsid w:val="007B773A"/>
    <w:rsid w:val="007C65BB"/>
    <w:rsid w:val="007D6AE5"/>
    <w:rsid w:val="007D6D42"/>
    <w:rsid w:val="007E1D7A"/>
    <w:rsid w:val="00806E1E"/>
    <w:rsid w:val="008318B1"/>
    <w:rsid w:val="00833AE9"/>
    <w:rsid w:val="00854C0C"/>
    <w:rsid w:val="008550DE"/>
    <w:rsid w:val="00856A71"/>
    <w:rsid w:val="0086228B"/>
    <w:rsid w:val="00862312"/>
    <w:rsid w:val="0086471F"/>
    <w:rsid w:val="00872294"/>
    <w:rsid w:val="0087654F"/>
    <w:rsid w:val="00897FE4"/>
    <w:rsid w:val="008A100E"/>
    <w:rsid w:val="008A24B1"/>
    <w:rsid w:val="008A3FA3"/>
    <w:rsid w:val="008C0067"/>
    <w:rsid w:val="008C517A"/>
    <w:rsid w:val="008D1497"/>
    <w:rsid w:val="008E71FC"/>
    <w:rsid w:val="00911009"/>
    <w:rsid w:val="0091305D"/>
    <w:rsid w:val="0091410C"/>
    <w:rsid w:val="00916AA9"/>
    <w:rsid w:val="00922139"/>
    <w:rsid w:val="0093315A"/>
    <w:rsid w:val="009431B7"/>
    <w:rsid w:val="00946B4D"/>
    <w:rsid w:val="00952266"/>
    <w:rsid w:val="0095408B"/>
    <w:rsid w:val="00954DDD"/>
    <w:rsid w:val="00983646"/>
    <w:rsid w:val="00991BF6"/>
    <w:rsid w:val="00992F9F"/>
    <w:rsid w:val="009952EF"/>
    <w:rsid w:val="009A2BD2"/>
    <w:rsid w:val="009A5E1A"/>
    <w:rsid w:val="009B18D8"/>
    <w:rsid w:val="009B5320"/>
    <w:rsid w:val="009C578A"/>
    <w:rsid w:val="009D1A8B"/>
    <w:rsid w:val="009D3839"/>
    <w:rsid w:val="009E43DE"/>
    <w:rsid w:val="00A049E5"/>
    <w:rsid w:val="00A060F2"/>
    <w:rsid w:val="00A1072D"/>
    <w:rsid w:val="00A13A56"/>
    <w:rsid w:val="00A15B44"/>
    <w:rsid w:val="00A17016"/>
    <w:rsid w:val="00A17CEB"/>
    <w:rsid w:val="00A264C3"/>
    <w:rsid w:val="00A27AA1"/>
    <w:rsid w:val="00A3246D"/>
    <w:rsid w:val="00A330E9"/>
    <w:rsid w:val="00A438E8"/>
    <w:rsid w:val="00A4570B"/>
    <w:rsid w:val="00A5045B"/>
    <w:rsid w:val="00A50F6A"/>
    <w:rsid w:val="00A51961"/>
    <w:rsid w:val="00A64F7F"/>
    <w:rsid w:val="00A66481"/>
    <w:rsid w:val="00A66F03"/>
    <w:rsid w:val="00A902F5"/>
    <w:rsid w:val="00A92075"/>
    <w:rsid w:val="00A92CBC"/>
    <w:rsid w:val="00AA0351"/>
    <w:rsid w:val="00AA189D"/>
    <w:rsid w:val="00AA773D"/>
    <w:rsid w:val="00AB1338"/>
    <w:rsid w:val="00AD74D2"/>
    <w:rsid w:val="00AE046A"/>
    <w:rsid w:val="00AF2A04"/>
    <w:rsid w:val="00AF72D0"/>
    <w:rsid w:val="00AF7308"/>
    <w:rsid w:val="00B055FD"/>
    <w:rsid w:val="00B0742B"/>
    <w:rsid w:val="00B1200A"/>
    <w:rsid w:val="00B12BBB"/>
    <w:rsid w:val="00B23A7F"/>
    <w:rsid w:val="00B26A19"/>
    <w:rsid w:val="00B2737A"/>
    <w:rsid w:val="00B4111C"/>
    <w:rsid w:val="00B42EA9"/>
    <w:rsid w:val="00B5255A"/>
    <w:rsid w:val="00B53CDC"/>
    <w:rsid w:val="00B542C5"/>
    <w:rsid w:val="00B60482"/>
    <w:rsid w:val="00B61D63"/>
    <w:rsid w:val="00B66F46"/>
    <w:rsid w:val="00B71CEC"/>
    <w:rsid w:val="00B85742"/>
    <w:rsid w:val="00B86FF0"/>
    <w:rsid w:val="00B978E1"/>
    <w:rsid w:val="00B97BE3"/>
    <w:rsid w:val="00BB1B83"/>
    <w:rsid w:val="00BB255B"/>
    <w:rsid w:val="00BC19BB"/>
    <w:rsid w:val="00BD0105"/>
    <w:rsid w:val="00BD4A33"/>
    <w:rsid w:val="00BF039E"/>
    <w:rsid w:val="00BF65D3"/>
    <w:rsid w:val="00BF70DC"/>
    <w:rsid w:val="00C06BB5"/>
    <w:rsid w:val="00C16B32"/>
    <w:rsid w:val="00C2422D"/>
    <w:rsid w:val="00C51006"/>
    <w:rsid w:val="00C54315"/>
    <w:rsid w:val="00C54943"/>
    <w:rsid w:val="00C56EF2"/>
    <w:rsid w:val="00C57656"/>
    <w:rsid w:val="00C62C1B"/>
    <w:rsid w:val="00C63B17"/>
    <w:rsid w:val="00C63BA6"/>
    <w:rsid w:val="00C70CD2"/>
    <w:rsid w:val="00C70EBE"/>
    <w:rsid w:val="00C73957"/>
    <w:rsid w:val="00C73F3E"/>
    <w:rsid w:val="00C80B64"/>
    <w:rsid w:val="00C81552"/>
    <w:rsid w:val="00C946E9"/>
    <w:rsid w:val="00C96430"/>
    <w:rsid w:val="00CB0413"/>
    <w:rsid w:val="00CB246C"/>
    <w:rsid w:val="00CB2CA6"/>
    <w:rsid w:val="00CC6DEA"/>
    <w:rsid w:val="00CD3B29"/>
    <w:rsid w:val="00CD3F66"/>
    <w:rsid w:val="00D14E07"/>
    <w:rsid w:val="00D17102"/>
    <w:rsid w:val="00D322D5"/>
    <w:rsid w:val="00D45825"/>
    <w:rsid w:val="00D46654"/>
    <w:rsid w:val="00D52E1A"/>
    <w:rsid w:val="00D56993"/>
    <w:rsid w:val="00D63AAA"/>
    <w:rsid w:val="00D7708B"/>
    <w:rsid w:val="00DA1C2F"/>
    <w:rsid w:val="00DA373F"/>
    <w:rsid w:val="00DC2BF4"/>
    <w:rsid w:val="00DC4FA4"/>
    <w:rsid w:val="00DC67C5"/>
    <w:rsid w:val="00DD60B6"/>
    <w:rsid w:val="00DD6CE2"/>
    <w:rsid w:val="00DE19C9"/>
    <w:rsid w:val="00DF317B"/>
    <w:rsid w:val="00DF53DA"/>
    <w:rsid w:val="00E06982"/>
    <w:rsid w:val="00E21F77"/>
    <w:rsid w:val="00E25DE2"/>
    <w:rsid w:val="00E331FB"/>
    <w:rsid w:val="00E516FB"/>
    <w:rsid w:val="00E53695"/>
    <w:rsid w:val="00E5641C"/>
    <w:rsid w:val="00E6356B"/>
    <w:rsid w:val="00E8150D"/>
    <w:rsid w:val="00E92FDF"/>
    <w:rsid w:val="00E93A73"/>
    <w:rsid w:val="00E970B3"/>
    <w:rsid w:val="00E97D32"/>
    <w:rsid w:val="00EB14FF"/>
    <w:rsid w:val="00EC0D67"/>
    <w:rsid w:val="00ED08C7"/>
    <w:rsid w:val="00ED0BAA"/>
    <w:rsid w:val="00ED5A1E"/>
    <w:rsid w:val="00EF3FC4"/>
    <w:rsid w:val="00F03A3F"/>
    <w:rsid w:val="00F03D2D"/>
    <w:rsid w:val="00F04FC9"/>
    <w:rsid w:val="00F06DC0"/>
    <w:rsid w:val="00F10FDA"/>
    <w:rsid w:val="00F32BA0"/>
    <w:rsid w:val="00F370D4"/>
    <w:rsid w:val="00F46ECF"/>
    <w:rsid w:val="00F63691"/>
    <w:rsid w:val="00F66763"/>
    <w:rsid w:val="00F76720"/>
    <w:rsid w:val="00FA5232"/>
    <w:rsid w:val="00FA6776"/>
    <w:rsid w:val="00FA79CD"/>
    <w:rsid w:val="00FC7EAC"/>
    <w:rsid w:val="00FD03C3"/>
    <w:rsid w:val="00FD0E31"/>
    <w:rsid w:val="00FD1759"/>
    <w:rsid w:val="00FE708A"/>
    <w:rsid w:val="00FF1B1E"/>
    <w:rsid w:val="00FF5D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Bookman Old Style" w:hAnsi="Bookman Old Style"/>
      <w:sz w:val="24"/>
      <w:szCs w:val="24"/>
      <w:lang w:eastAsia="ar-SA"/>
    </w:rPr>
  </w:style>
  <w:style w:type="paragraph" w:styleId="Nagwek1">
    <w:name w:val="heading 1"/>
    <w:basedOn w:val="Normalny"/>
    <w:next w:val="Normalny"/>
    <w:qFormat/>
    <w:pPr>
      <w:keepNext/>
      <w:spacing w:line="360" w:lineRule="auto"/>
      <w:ind w:firstLine="709"/>
      <w:jc w:val="both"/>
      <w:outlineLvl w:val="0"/>
    </w:pPr>
    <w:rPr>
      <w:b/>
      <w:bCs/>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jc w:val="center"/>
      <w:outlineLvl w:val="2"/>
    </w:pPr>
    <w:rPr>
      <w:rFonts w:ascii="Times New Roman" w:hAnsi="Times New Roman"/>
      <w:b/>
      <w:sz w:val="32"/>
    </w:rPr>
  </w:style>
  <w:style w:type="paragraph" w:styleId="Nagwek4">
    <w:name w:val="heading 4"/>
    <w:basedOn w:val="Normalny"/>
    <w:next w:val="Normalny"/>
    <w:qFormat/>
    <w:pPr>
      <w:keepNext/>
      <w:widowControl w:val="0"/>
      <w:jc w:val="both"/>
      <w:outlineLvl w:val="3"/>
    </w:pPr>
    <w:rPr>
      <w:rFonts w:ascii="Times New Roman" w:hAnsi="Times New Roman"/>
      <w:color w:val="000000"/>
      <w:lang w:val="en-US"/>
    </w:rPr>
  </w:style>
  <w:style w:type="paragraph" w:styleId="Nagwek5">
    <w:name w:val="heading 5"/>
    <w:basedOn w:val="Normalny"/>
    <w:next w:val="Normalny"/>
    <w:qFormat/>
    <w:pPr>
      <w:keepNext/>
      <w:spacing w:line="360" w:lineRule="auto"/>
      <w:jc w:val="both"/>
      <w:outlineLvl w:val="4"/>
    </w:pPr>
    <w:rPr>
      <w:rFonts w:ascii="Times New Roman" w:hAnsi="Times New Roman"/>
      <w:b/>
    </w:rPr>
  </w:style>
  <w:style w:type="paragraph" w:styleId="Nagwek6">
    <w:name w:val="heading 6"/>
    <w:basedOn w:val="Normalny"/>
    <w:next w:val="Normalny"/>
    <w:qFormat/>
    <w:pPr>
      <w:spacing w:before="240" w:after="60"/>
      <w:outlineLvl w:val="5"/>
    </w:pPr>
    <w:rPr>
      <w:rFonts w:ascii="Times New Roman" w:hAnsi="Times New Roman"/>
      <w:b/>
      <w:bCs/>
      <w:sz w:val="22"/>
      <w:szCs w:val="22"/>
    </w:rPr>
  </w:style>
  <w:style w:type="paragraph" w:styleId="Nagwek7">
    <w:name w:val="heading 7"/>
    <w:basedOn w:val="Normalny"/>
    <w:next w:val="Normalny"/>
    <w:qFormat/>
    <w:pPr>
      <w:spacing w:before="240" w:after="60"/>
      <w:outlineLvl w:val="6"/>
    </w:pPr>
    <w:rPr>
      <w:rFonts w:ascii="Times New Roman" w:hAnsi="Times New Roman"/>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WW8Num1z0">
    <w:name w:val="WW8Num1z0"/>
    <w:rPr>
      <w:rFonts w:ascii="Symbol" w:hAnsi="Symbol" w:cs="Symbol"/>
    </w:rPr>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Helvetica"/>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Courier New" w:hAnsi="Courier New"/>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sz w:val="20"/>
    </w:rPr>
  </w:style>
  <w:style w:type="character" w:customStyle="1" w:styleId="WW8Num27z1">
    <w:name w:val="WW8Num27z1"/>
    <w:rPr>
      <w:rFonts w:ascii="Courier New" w:hAnsi="Courier New"/>
      <w:sz w:val="20"/>
    </w:rPr>
  </w:style>
  <w:style w:type="character" w:customStyle="1" w:styleId="WW8Num27z2">
    <w:name w:val="WW8Num27z2"/>
    <w:rPr>
      <w:rFonts w:ascii="Wingdings" w:hAnsi="Wingdings"/>
      <w:sz w:val="20"/>
    </w:rPr>
  </w:style>
  <w:style w:type="character" w:customStyle="1" w:styleId="WW8Num28z0">
    <w:name w:val="WW8Num28z0"/>
    <w:rPr>
      <w:rFonts w:ascii="Courier New" w:hAnsi="Courier New"/>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Courier New" w:hAnsi="Courier New"/>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Domylnaczcionkaakapitu1">
    <w:name w:val="Domyślna czcionka akapitu1"/>
  </w:style>
  <w:style w:type="character" w:customStyle="1" w:styleId="FootnoteCharacters">
    <w:name w:val="Footnote Characters"/>
    <w:rPr>
      <w:vertAlign w:val="superscript"/>
    </w:rPr>
  </w:style>
  <w:style w:type="character" w:styleId="Numerstrony">
    <w:name w:val="page number"/>
    <w:basedOn w:val="Domylnaczcionkaakapitu1"/>
  </w:style>
  <w:style w:type="character" w:customStyle="1" w:styleId="normalny0">
    <w:name w:val="normalny"/>
  </w:style>
  <w:style w:type="character" w:styleId="Hipercze">
    <w:name w:val="Hyperlink"/>
    <w:rPr>
      <w:rFonts w:ascii="Arial" w:hAnsi="Arial" w:cs="Arial"/>
      <w:strike w:val="0"/>
      <w:dstrike w:val="0"/>
      <w:color w:val="244100"/>
      <w:sz w:val="20"/>
      <w:szCs w:val="20"/>
      <w:u w:val="none"/>
    </w:rPr>
  </w:style>
  <w:style w:type="character" w:customStyle="1" w:styleId="Nagwek1ZnakZnak">
    <w:name w:val="Nagłówek 1 Znak Znak"/>
    <w:rPr>
      <w:rFonts w:cs="Arial"/>
      <w:b/>
      <w:bCs/>
      <w:kern w:val="1"/>
      <w:sz w:val="24"/>
      <w:szCs w:val="32"/>
      <w:lang w:val="pl-PL" w:eastAsia="ar-SA" w:bidi="ar-SA"/>
    </w:rPr>
  </w:style>
  <w:style w:type="character" w:customStyle="1" w:styleId="Nagwek2Znak">
    <w:name w:val="Nagłówek 2 Znak"/>
    <w:rPr>
      <w:rFonts w:cs="Arial"/>
      <w:b/>
      <w:bCs/>
      <w:iCs/>
      <w:kern w:val="1"/>
      <w:sz w:val="24"/>
      <w:szCs w:val="28"/>
      <w:lang w:val="pl-PL" w:eastAsia="ar-SA" w:bidi="ar-SA"/>
    </w:rPr>
  </w:style>
  <w:style w:type="character" w:customStyle="1" w:styleId="StylNagwek2PogrubienieZnak">
    <w:name w:val="Styl Nagłówek 2 + Pogrubienie Znak"/>
    <w:basedOn w:val="Nagwek2Znak"/>
  </w:style>
  <w:style w:type="character" w:customStyle="1" w:styleId="Odwoaniedokomentarza1">
    <w:name w:val="Odwołanie do komentarza1"/>
    <w:rPr>
      <w:sz w:val="16"/>
      <w:szCs w:val="16"/>
    </w:rPr>
  </w:style>
  <w:style w:type="character" w:customStyle="1" w:styleId="mediumb-text1">
    <w:name w:val="mediumb-text1"/>
    <w:rPr>
      <w:rFonts w:ascii="Arial" w:hAnsi="Arial" w:cs="Arial"/>
      <w:b/>
      <w:bCs/>
      <w:color w:val="000000"/>
      <w:sz w:val="24"/>
      <w:szCs w:val="24"/>
    </w:rPr>
  </w:style>
  <w:style w:type="character" w:customStyle="1" w:styleId="Znakiprzypiswdolnych">
    <w:name w:val="Znaki przypisów dolnych"/>
    <w:rPr>
      <w:vertAlign w:val="superscript"/>
    </w:rPr>
  </w:style>
  <w:style w:type="character" w:styleId="Odwoanieprzypisudolnego">
    <w:name w:val="footnote reference"/>
    <w:aliases w:val="(Voetnootmarkering),FZ"/>
    <w:semiHidden/>
    <w:rPr>
      <w:vertAlign w:val="superscript"/>
    </w:rPr>
  </w:style>
  <w:style w:type="character" w:styleId="Odwoanieprzypisukocowego">
    <w:name w:val="endnote reference"/>
    <w:semiHidden/>
    <w:rPr>
      <w:vertAlign w:val="superscript"/>
    </w:rPr>
  </w:style>
  <w:style w:type="character" w:customStyle="1" w:styleId="EndnoteCharacters">
    <w:name w:val="Endnote Characters"/>
  </w:style>
  <w:style w:type="character" w:customStyle="1" w:styleId="NumberingSymbols">
    <w:name w:val="Numbering Symbols"/>
  </w:style>
  <w:style w:type="paragraph" w:customStyle="1" w:styleId="Heading">
    <w:name w:val="Heading"/>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pPr>
      <w:spacing w:before="48" w:line="360" w:lineRule="auto"/>
      <w:jc w:val="both"/>
    </w:pPr>
    <w:rPr>
      <w:rFonts w:ascii="Times New Roman" w:hAnsi="Times New Roman"/>
      <w:sz w:val="28"/>
    </w:rPr>
  </w:style>
  <w:style w:type="paragraph" w:styleId="Lista">
    <w:name w:val="List"/>
    <w:basedOn w:val="Tekstpodstawowy"/>
  </w:style>
  <w:style w:type="paragraph" w:customStyle="1" w:styleId="Caption">
    <w:name w:val="Caption"/>
    <w:basedOn w:val="Normalny"/>
    <w:pPr>
      <w:suppressLineNumbers/>
      <w:spacing w:before="120" w:after="120"/>
    </w:pPr>
    <w:rPr>
      <w:i/>
      <w:iCs/>
    </w:rPr>
  </w:style>
  <w:style w:type="paragraph" w:customStyle="1" w:styleId="Index">
    <w:name w:val="Index"/>
    <w:basedOn w:val="Normalny"/>
    <w:pPr>
      <w:suppressLineNumbers/>
    </w:pPr>
  </w:style>
  <w:style w:type="paragraph" w:styleId="Tekstprzypisudolnego">
    <w:name w:val="footnote text"/>
    <w:aliases w:val="FA Fußnotentext"/>
    <w:basedOn w:val="Normalny"/>
    <w:link w:val="TekstprzypisudolnegoZnak"/>
    <w:semiHidden/>
    <w:rPr>
      <w:sz w:val="20"/>
      <w:szCs w:val="20"/>
    </w:rPr>
  </w:style>
  <w:style w:type="paragraph" w:styleId="Tekstpodstawowywcity">
    <w:name w:val="Body Text Indent"/>
    <w:basedOn w:val="Normalny"/>
    <w:pPr>
      <w:spacing w:line="360" w:lineRule="auto"/>
      <w:ind w:firstLine="709"/>
      <w:jc w:val="both"/>
    </w:p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customStyle="1" w:styleId="przypisy">
    <w:name w:val="przypisy"/>
    <w:basedOn w:val="Tekstprzypisudolnego"/>
    <w:pPr>
      <w:ind w:left="113" w:hanging="113"/>
      <w:jc w:val="both"/>
    </w:pPr>
    <w:rPr>
      <w:rFonts w:ascii="Helvetica" w:hAnsi="Helvetica"/>
      <w:sz w:val="17"/>
    </w:rPr>
  </w:style>
  <w:style w:type="paragraph" w:customStyle="1" w:styleId="tekstprokuratury">
    <w:name w:val="tekst prokuratury"/>
    <w:basedOn w:val="Nagwek2"/>
    <w:pPr>
      <w:ind w:firstLine="284"/>
      <w:jc w:val="both"/>
    </w:pPr>
    <w:rPr>
      <w:rFonts w:ascii="Helvetica" w:hAnsi="Helvetica"/>
      <w:b w:val="0"/>
      <w:sz w:val="21"/>
    </w:rPr>
  </w:style>
  <w:style w:type="paragraph" w:customStyle="1" w:styleId="autorprokuratury">
    <w:name w:val="autor prokuratury"/>
    <w:basedOn w:val="tekstprokuratury"/>
    <w:pPr>
      <w:spacing w:after="360"/>
      <w:ind w:firstLine="0"/>
    </w:pPr>
    <w:rPr>
      <w:b/>
      <w:sz w:val="24"/>
    </w:rPr>
  </w:style>
  <w:style w:type="paragraph" w:customStyle="1" w:styleId="tytulprokuratury">
    <w:name w:val="tytul prokuratury"/>
    <w:basedOn w:val="tekstprokuratury"/>
    <w:pPr>
      <w:spacing w:after="320"/>
      <w:ind w:firstLine="0"/>
      <w:jc w:val="center"/>
    </w:pPr>
    <w:rPr>
      <w:b/>
      <w:sz w:val="31"/>
    </w:rPr>
  </w:style>
  <w:style w:type="paragraph" w:customStyle="1" w:styleId="podtytulprokuratury">
    <w:name w:val="podtytul prokuratury"/>
    <w:basedOn w:val="tekstprokuratury"/>
    <w:pPr>
      <w:spacing w:before="360" w:after="240"/>
      <w:ind w:firstLine="0"/>
    </w:pPr>
    <w:rPr>
      <w:b/>
      <w:sz w:val="24"/>
    </w:rPr>
  </w:style>
  <w:style w:type="paragraph" w:customStyle="1" w:styleId="kreska">
    <w:name w:val="kreska"/>
    <w:basedOn w:val="Normalny"/>
    <w:pPr>
      <w:jc w:val="both"/>
    </w:pPr>
    <w:rPr>
      <w:rFonts w:ascii="Helvetica" w:hAnsi="Helvetica"/>
      <w:sz w:val="21"/>
    </w:rPr>
  </w:style>
  <w:style w:type="paragraph" w:customStyle="1" w:styleId="podtytul2prokuratury">
    <w:name w:val="podtytul2 prokuratury"/>
    <w:basedOn w:val="tekstprokuratury"/>
    <w:pPr>
      <w:spacing w:before="120" w:after="120"/>
      <w:ind w:firstLine="0"/>
    </w:pPr>
    <w:rPr>
      <w:b/>
    </w:rPr>
  </w:style>
  <w:style w:type="paragraph" w:customStyle="1" w:styleId="BodyText2">
    <w:name w:val="Body Text 2"/>
    <w:basedOn w:val="Normalny"/>
    <w:pPr>
      <w:spacing w:before="48" w:line="360" w:lineRule="auto"/>
      <w:ind w:firstLine="720"/>
      <w:jc w:val="both"/>
    </w:pPr>
    <w:rPr>
      <w:rFonts w:ascii="Times New Roman" w:hAnsi="Times New Roman"/>
      <w:sz w:val="28"/>
      <w:lang w:val="pl-PL"/>
    </w:rPr>
  </w:style>
  <w:style w:type="paragraph" w:customStyle="1" w:styleId="Tekstpodstawowy21">
    <w:name w:val="Tekst podstawowy 21"/>
    <w:basedOn w:val="Normalny"/>
    <w:pPr>
      <w:jc w:val="center"/>
    </w:pPr>
    <w:rPr>
      <w:rFonts w:ascii="Times New Roman" w:hAnsi="Times New Roman"/>
      <w:b/>
      <w:sz w:val="22"/>
      <w:lang w:val="pl-PL"/>
    </w:rPr>
  </w:style>
  <w:style w:type="paragraph" w:customStyle="1" w:styleId="Tekstpodstawowy31">
    <w:name w:val="Tekst podstawowy 31"/>
    <w:basedOn w:val="Normalny"/>
    <w:pPr>
      <w:jc w:val="both"/>
    </w:pPr>
    <w:rPr>
      <w:rFonts w:ascii="Times New Roman" w:hAnsi="Times New Roman"/>
      <w:b/>
      <w:sz w:val="22"/>
      <w:lang w:val="pl-PL"/>
    </w:rPr>
  </w:style>
  <w:style w:type="paragraph" w:customStyle="1" w:styleId="Tekstpodstawowywcity21">
    <w:name w:val="Tekst podstawowy wcięty 21"/>
    <w:basedOn w:val="Normalny"/>
    <w:pPr>
      <w:ind w:firstLine="709"/>
      <w:jc w:val="both"/>
    </w:pPr>
    <w:rPr>
      <w:rFonts w:ascii="Times New Roman" w:hAnsi="Times New Roman"/>
      <w:sz w:val="22"/>
    </w:rPr>
  </w:style>
  <w:style w:type="paragraph" w:customStyle="1" w:styleId="FR4">
    <w:name w:val="FR4"/>
    <w:pPr>
      <w:widowControl w:val="0"/>
      <w:suppressAutoHyphens/>
      <w:autoSpaceDE w:val="0"/>
      <w:jc w:val="both"/>
    </w:pPr>
    <w:rPr>
      <w:rFonts w:ascii="Arial" w:hAnsi="Arial"/>
      <w:lang w:eastAsia="ar-SA"/>
    </w:rPr>
  </w:style>
  <w:style w:type="paragraph" w:customStyle="1" w:styleId="FR5">
    <w:name w:val="FR5"/>
    <w:pPr>
      <w:widowControl w:val="0"/>
      <w:suppressAutoHyphens/>
      <w:autoSpaceDE w:val="0"/>
      <w:spacing w:before="820" w:line="480" w:lineRule="auto"/>
      <w:jc w:val="both"/>
    </w:pPr>
    <w:rPr>
      <w:rFonts w:ascii="Courier New" w:hAnsi="Courier New"/>
      <w:sz w:val="18"/>
      <w:lang w:eastAsia="ar-SA"/>
    </w:rPr>
  </w:style>
  <w:style w:type="paragraph" w:customStyle="1" w:styleId="Tekstpodstawowywcity31">
    <w:name w:val="Tekst podstawowy wcięty 31"/>
    <w:basedOn w:val="Normalny"/>
    <w:pPr>
      <w:widowControl w:val="0"/>
      <w:autoSpaceDE w:val="0"/>
      <w:spacing w:before="60" w:line="360" w:lineRule="auto"/>
      <w:ind w:firstLine="700"/>
      <w:jc w:val="both"/>
    </w:pPr>
    <w:rPr>
      <w:rFonts w:ascii="Courier New" w:hAnsi="Courier New"/>
    </w:rPr>
  </w:style>
  <w:style w:type="paragraph" w:styleId="Tekstprzypisukocowego">
    <w:name w:val="endnote text"/>
    <w:basedOn w:val="Normalny"/>
    <w:link w:val="TekstprzypisukocowegoZnak"/>
    <w:semiHidden/>
    <w:rPr>
      <w:rFonts w:ascii="Times New Roman" w:hAnsi="Times New Roman"/>
      <w:sz w:val="20"/>
    </w:rPr>
  </w:style>
  <w:style w:type="paragraph" w:customStyle="1" w:styleId="Uchwaa">
    <w:name w:val="Uchwała"/>
    <w:pPr>
      <w:suppressAutoHyphens/>
      <w:jc w:val="both"/>
    </w:pPr>
    <w:rPr>
      <w:lang w:eastAsia="ar-SA"/>
    </w:rPr>
  </w:style>
  <w:style w:type="paragraph" w:customStyle="1" w:styleId="Styl1">
    <w:name w:val="Styl1"/>
    <w:basedOn w:val="Normalny"/>
    <w:pPr>
      <w:jc w:val="both"/>
    </w:pPr>
    <w:rPr>
      <w:rFonts w:ascii="Sylfaen" w:hAnsi="Sylfaen"/>
      <w:i/>
      <w:sz w:val="28"/>
    </w:rPr>
  </w:style>
  <w:style w:type="paragraph" w:customStyle="1" w:styleId="przekladka">
    <w:name w:val="przekladka"/>
    <w:basedOn w:val="tekstprokuratury"/>
    <w:pPr>
      <w:spacing w:before="480" w:after="1600"/>
      <w:ind w:firstLine="0"/>
      <w:jc w:val="center"/>
    </w:pPr>
    <w:rPr>
      <w:rFonts w:ascii="Arial" w:hAnsi="Arial"/>
      <w:b/>
      <w:caps/>
      <w:sz w:val="32"/>
    </w:rPr>
  </w:style>
  <w:style w:type="paragraph" w:styleId="NormalnyWeb">
    <w:name w:val="Normal (Web)"/>
    <w:basedOn w:val="Normalny"/>
    <w:pPr>
      <w:spacing w:before="100" w:after="100"/>
    </w:pPr>
    <w:rPr>
      <w:rFonts w:ascii="Times New Roman" w:hAnsi="Times New Roman"/>
    </w:rPr>
  </w:style>
  <w:style w:type="paragraph" w:customStyle="1" w:styleId="Plandokumentu1">
    <w:name w:val="Plan dokumentu1"/>
    <w:basedOn w:val="Normalny"/>
    <w:pPr>
      <w:shd w:val="clear" w:color="auto" w:fill="000080"/>
    </w:pPr>
    <w:rPr>
      <w:rFonts w:ascii="Tahoma" w:hAnsi="Tahoma" w:cs="Tahoma"/>
    </w:rPr>
  </w:style>
  <w:style w:type="paragraph" w:styleId="Tekstdymka">
    <w:name w:val="Balloon Text"/>
    <w:basedOn w:val="Normalny"/>
    <w:link w:val="TekstdymkaZnak"/>
    <w:rPr>
      <w:rFonts w:ascii="Tahoma" w:hAnsi="Tahoma" w:cs="Tahoma"/>
      <w:sz w:val="16"/>
      <w:szCs w:val="16"/>
    </w:rPr>
  </w:style>
  <w:style w:type="paragraph" w:customStyle="1" w:styleId="Styl">
    <w:name w:val="Styl"/>
    <w:pPr>
      <w:widowControl w:val="0"/>
      <w:suppressAutoHyphens/>
      <w:autoSpaceDE w:val="0"/>
    </w:pPr>
    <w:rPr>
      <w:sz w:val="24"/>
      <w:szCs w:val="24"/>
      <w:lang w:eastAsia="ar-SA"/>
    </w:rPr>
  </w:style>
  <w:style w:type="paragraph" w:customStyle="1" w:styleId="tekst">
    <w:name w:val="tekst"/>
    <w:pPr>
      <w:suppressAutoHyphens/>
      <w:autoSpaceDE w:val="0"/>
      <w:spacing w:line="264" w:lineRule="atLeast"/>
      <w:ind w:firstLine="384"/>
      <w:jc w:val="both"/>
    </w:pPr>
    <w:rPr>
      <w:color w:val="000000"/>
      <w:lang w:eastAsia="ar-SA"/>
    </w:rPr>
  </w:style>
  <w:style w:type="paragraph" w:customStyle="1" w:styleId="tekstbezwcicia">
    <w:name w:val="tekst bez wcięcia"/>
    <w:pPr>
      <w:suppressAutoHyphens/>
      <w:jc w:val="both"/>
    </w:pPr>
    <w:rPr>
      <w:sz w:val="24"/>
      <w:lang w:eastAsia="ar-SA"/>
    </w:rPr>
  </w:style>
  <w:style w:type="paragraph" w:customStyle="1" w:styleId="Legenda1">
    <w:name w:val="Legenda1"/>
    <w:basedOn w:val="Normalny"/>
    <w:next w:val="Normalny"/>
    <w:pPr>
      <w:spacing w:after="120"/>
      <w:ind w:firstLine="709"/>
      <w:jc w:val="both"/>
    </w:pPr>
    <w:rPr>
      <w:rFonts w:ascii="Times New Roman" w:hAnsi="Times New Roman"/>
      <w:b/>
      <w:sz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ytulangielski">
    <w:name w:val="tytul angielski"/>
    <w:basedOn w:val="tytulprokuratury"/>
    <w:pPr>
      <w:spacing w:after="0"/>
    </w:pPr>
    <w:rPr>
      <w:szCs w:val="21"/>
    </w:rPr>
  </w:style>
  <w:style w:type="paragraph" w:styleId="Tytu">
    <w:name w:val="Title"/>
    <w:basedOn w:val="Normalny"/>
    <w:next w:val="Podtytu"/>
    <w:qFormat/>
    <w:pPr>
      <w:jc w:val="center"/>
    </w:pPr>
    <w:rPr>
      <w:rFonts w:ascii="Times New Roman" w:hAnsi="Times New Roman"/>
      <w:b/>
      <w:sz w:val="32"/>
      <w:szCs w:val="32"/>
    </w:rPr>
  </w:style>
  <w:style w:type="paragraph" w:styleId="Podtytu">
    <w:name w:val="Subtitle"/>
    <w:basedOn w:val="Normalny"/>
    <w:next w:val="Tekstpodstawowy"/>
    <w:qFormat/>
    <w:rPr>
      <w:rFonts w:ascii="Arial" w:hAnsi="Arial"/>
      <w:i/>
      <w:sz w:val="21"/>
    </w:rPr>
  </w:style>
  <w:style w:type="paragraph" w:customStyle="1" w:styleId="Tekstblokowy1">
    <w:name w:val="Tekst blokowy1"/>
    <w:basedOn w:val="Normalny"/>
    <w:pPr>
      <w:ind w:left="357" w:right="-56" w:firstLine="62"/>
      <w:jc w:val="both"/>
    </w:pPr>
    <w:rPr>
      <w:rFonts w:ascii="Arial" w:hAnsi="Arial"/>
      <w:sz w:val="21"/>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Framecontents">
    <w:name w:val="Frame contents"/>
    <w:basedOn w:val="Tekstpodstawowy"/>
  </w:style>
  <w:style w:type="character" w:customStyle="1" w:styleId="txtsrodtytul">
    <w:name w:val="txtsrodtytul"/>
    <w:basedOn w:val="Domylnaczcionkaakapitu"/>
    <w:rsid w:val="00B71CEC"/>
  </w:style>
  <w:style w:type="character" w:customStyle="1" w:styleId="tabulatory">
    <w:name w:val="tabulatory"/>
    <w:basedOn w:val="Domylnaczcionkaakapitu"/>
    <w:rsid w:val="00B71CEC"/>
  </w:style>
  <w:style w:type="character" w:styleId="HTML-definicja">
    <w:name w:val="HTML Definition"/>
    <w:rsid w:val="00B71CEC"/>
    <w:rPr>
      <w:i/>
      <w:iCs/>
    </w:rPr>
  </w:style>
  <w:style w:type="paragraph" w:customStyle="1" w:styleId="paszczyznastandardowa">
    <w:name w:val="płaszczyzna standardowa"/>
    <w:basedOn w:val="Normalny"/>
    <w:rsid w:val="00B71CEC"/>
    <w:pPr>
      <w:spacing w:after="240"/>
      <w:jc w:val="both"/>
    </w:pPr>
    <w:rPr>
      <w:rFonts w:ascii="Times New Roman" w:hAnsi="Times New Roman"/>
      <w:szCs w:val="20"/>
      <w:lang w:eastAsia="pl-PL"/>
    </w:rPr>
  </w:style>
  <w:style w:type="paragraph" w:customStyle="1" w:styleId="ListParagraph">
    <w:name w:val="List Paragraph"/>
    <w:basedOn w:val="Normalny"/>
    <w:rsid w:val="00660070"/>
    <w:pPr>
      <w:spacing w:after="200" w:line="276" w:lineRule="auto"/>
      <w:ind w:left="720"/>
    </w:pPr>
    <w:rPr>
      <w:rFonts w:ascii="Calibri" w:hAnsi="Calibri"/>
      <w:sz w:val="22"/>
      <w:szCs w:val="22"/>
      <w:lang w:eastAsia="en-US"/>
    </w:rPr>
  </w:style>
  <w:style w:type="table" w:styleId="Tabela-Siatka">
    <w:name w:val="Table Grid"/>
    <w:basedOn w:val="Standardowy"/>
    <w:rsid w:val="005B3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3246D"/>
    <w:pPr>
      <w:widowControl w:val="0"/>
      <w:suppressAutoHyphens/>
      <w:autoSpaceDN w:val="0"/>
      <w:textAlignment w:val="baseline"/>
    </w:pPr>
    <w:rPr>
      <w:rFonts w:eastAsia="SimSun" w:cs="Mangal"/>
      <w:kern w:val="3"/>
      <w:sz w:val="24"/>
      <w:szCs w:val="24"/>
      <w:lang w:eastAsia="zh-CN" w:bidi="hi-IN"/>
    </w:rPr>
  </w:style>
  <w:style w:type="character" w:customStyle="1" w:styleId="TekstdymkaZnak">
    <w:name w:val="Tekst dymka Znak"/>
    <w:link w:val="Tekstdymka"/>
    <w:semiHidden/>
    <w:locked/>
    <w:rsid w:val="00E53695"/>
    <w:rPr>
      <w:rFonts w:ascii="Tahoma" w:hAnsi="Tahoma" w:cs="Tahoma"/>
      <w:sz w:val="16"/>
      <w:szCs w:val="16"/>
      <w:lang w:val="pl-PL" w:eastAsia="ar-SA" w:bidi="ar-SA"/>
    </w:rPr>
  </w:style>
  <w:style w:type="character" w:customStyle="1" w:styleId="TekstprzypisudolnegoZnak">
    <w:name w:val="Tekst przypisu dolnego Znak"/>
    <w:aliases w:val="FA Fußnotentext Znak"/>
    <w:link w:val="Tekstprzypisudolnego"/>
    <w:locked/>
    <w:rsid w:val="00E53695"/>
    <w:rPr>
      <w:rFonts w:ascii="Bookman Old Style" w:hAnsi="Bookman Old Style"/>
      <w:lang w:val="pl-PL" w:eastAsia="ar-SA" w:bidi="ar-SA"/>
    </w:rPr>
  </w:style>
  <w:style w:type="character" w:customStyle="1" w:styleId="TekstprzypisukocowegoZnak">
    <w:name w:val="Tekst przypisu końcowego Znak"/>
    <w:link w:val="Tekstprzypisukocowego"/>
    <w:semiHidden/>
    <w:locked/>
    <w:rsid w:val="00E53695"/>
    <w:rPr>
      <w:szCs w:val="24"/>
      <w:lang w:val="pl-PL" w:eastAsia="ar-SA" w:bidi="ar-SA"/>
    </w:rPr>
  </w:style>
  <w:style w:type="paragraph" w:customStyle="1" w:styleId="NoSpacing">
    <w:name w:val="No Spacing"/>
    <w:rsid w:val="00E53695"/>
    <w:rPr>
      <w:rFonts w:ascii="Calibri" w:hAnsi="Calibri"/>
      <w:sz w:val="22"/>
      <w:szCs w:val="22"/>
      <w:lang w:eastAsia="en-US"/>
    </w:rPr>
  </w:style>
  <w:style w:type="character" w:customStyle="1" w:styleId="ZnakZnak5">
    <w:name w:val=" Znak Znak5"/>
    <w:semiHidden/>
    <w:rsid w:val="00A15B44"/>
    <w:rPr>
      <w:rFonts w:eastAsia="Calibri"/>
      <w:lang w:eastAsia="en-US" w:bidi="ar-SA"/>
    </w:rPr>
  </w:style>
  <w:style w:type="paragraph" w:styleId="Tekstpodstawowy2">
    <w:name w:val="Body Text 2"/>
    <w:basedOn w:val="Normalny"/>
    <w:rsid w:val="00E97D32"/>
    <w:pPr>
      <w:spacing w:after="120" w:line="480" w:lineRule="auto"/>
    </w:pPr>
  </w:style>
  <w:style w:type="character" w:customStyle="1" w:styleId="st1">
    <w:name w:val="st1"/>
    <w:rsid w:val="000379F5"/>
  </w:style>
  <w:style w:type="paragraph" w:customStyle="1" w:styleId="Default">
    <w:name w:val="Default"/>
    <w:rsid w:val="000379F5"/>
    <w:pPr>
      <w:autoSpaceDE w:val="0"/>
      <w:autoSpaceDN w:val="0"/>
      <w:adjustRightInd w:val="0"/>
    </w:pPr>
    <w:rPr>
      <w:color w:val="000000"/>
      <w:sz w:val="24"/>
      <w:szCs w:val="24"/>
    </w:rPr>
  </w:style>
  <w:style w:type="paragraph" w:styleId="Akapitzlist">
    <w:name w:val="List Paragraph"/>
    <w:basedOn w:val="Normalny"/>
    <w:qFormat/>
    <w:rsid w:val="004C3B6B"/>
    <w:pPr>
      <w:spacing w:after="200" w:line="276" w:lineRule="auto"/>
      <w:ind w:left="720"/>
      <w:contextualSpacing/>
    </w:pPr>
    <w:rPr>
      <w:rFonts w:ascii="Calibri" w:eastAsia="Calibri" w:hAnsi="Calibri"/>
      <w:sz w:val="22"/>
      <w:szCs w:val="22"/>
      <w:lang w:eastAsia="en-US"/>
    </w:rPr>
  </w:style>
  <w:style w:type="paragraph" w:customStyle="1" w:styleId="StandardowyNB">
    <w:name w:val="Standardowy NB"/>
    <w:basedOn w:val="Normalny"/>
    <w:rsid w:val="00A17CEB"/>
    <w:pPr>
      <w:spacing w:line="360" w:lineRule="auto"/>
    </w:pPr>
    <w:rPr>
      <w:rFonts w:ascii="Times New Roman" w:hAnsi="Times New Roman"/>
      <w:szCs w:val="20"/>
      <w:lang w:eastAsia="pl-PL"/>
    </w:rPr>
  </w:style>
  <w:style w:type="character" w:customStyle="1" w:styleId="FAFunotentextZnakZnak">
    <w:name w:val="FA Fußnotentext Znak Znak"/>
    <w:rsid w:val="00A17CEB"/>
    <w:rPr>
      <w:rFonts w:ascii="Calibri" w:eastAsia="Calibri" w:hAnsi="Calibri"/>
      <w:lang w:val="pl-PL" w:eastAsia="en-US" w:bidi="ar-SA"/>
    </w:rPr>
  </w:style>
  <w:style w:type="character" w:customStyle="1" w:styleId="FootnoteTextChar">
    <w:name w:val="Footnote Text Char"/>
    <w:locked/>
    <w:rsid w:val="00D45825"/>
    <w:rPr>
      <w:rFonts w:ascii="Cambria" w:hAnsi="Cambria" w:cs="Mongolian Baiti"/>
      <w:sz w:val="24"/>
      <w:szCs w:val="24"/>
      <w:lang w:val="pl-PL" w:eastAsia="pl-PL" w:bidi="ar-SA"/>
    </w:rPr>
  </w:style>
  <w:style w:type="character" w:customStyle="1" w:styleId="EndnoteTextChar">
    <w:name w:val="Endnote Text Char"/>
    <w:semiHidden/>
    <w:locked/>
    <w:rsid w:val="002F49F8"/>
    <w:rPr>
      <w:rFonts w:eastAsia="Calibri"/>
      <w:lang w:val="pl-PL" w:eastAsia="pl-PL" w:bidi="ar-SA"/>
    </w:rPr>
  </w:style>
  <w:style w:type="paragraph" w:customStyle="1" w:styleId="tekstpg">
    <w:name w:val="tekst_płg"/>
    <w:basedOn w:val="tekst"/>
    <w:rsid w:val="002F49F8"/>
    <w:pPr>
      <w:suppressAutoHyphens w:val="0"/>
      <w:autoSpaceDN w:val="0"/>
      <w:adjustRightInd w:val="0"/>
    </w:pPr>
    <w:rPr>
      <w:rFonts w:eastAsia="Calibri"/>
      <w:b/>
      <w:bCs/>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g.gov.pl/plik/2014_02/31bb3ede22756e0315aafa48582dec7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6348</Words>
  <Characters>38094</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Marek Mozgawa</vt:lpstr>
    </vt:vector>
  </TitlesOfParts>
  <Company/>
  <LinksUpToDate>false</LinksUpToDate>
  <CharactersWithSpaces>44354</CharactersWithSpaces>
  <SharedDoc>false</SharedDoc>
  <HLinks>
    <vt:vector size="6" baseType="variant">
      <vt:variant>
        <vt:i4>6422536</vt:i4>
      </vt:variant>
      <vt:variant>
        <vt:i4>0</vt:i4>
      </vt:variant>
      <vt:variant>
        <vt:i4>0</vt:i4>
      </vt:variant>
      <vt:variant>
        <vt:i4>5</vt:i4>
      </vt:variant>
      <vt:variant>
        <vt:lpwstr>http://www.pg.gov.pl/plik/2014_02/31bb3ede22756e0315aafa48582dec71.pdf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Marek Mozgawa</dc:title>
  <dc:creator>Dorota Kaleta</dc:creator>
  <cp:lastModifiedBy>Dagmara Gruszeck</cp:lastModifiedBy>
  <cp:revision>2</cp:revision>
  <cp:lastPrinted>2014-12-01T08:23:00Z</cp:lastPrinted>
  <dcterms:created xsi:type="dcterms:W3CDTF">2015-01-29T15:51:00Z</dcterms:created>
  <dcterms:modified xsi:type="dcterms:W3CDTF">2015-01-29T15:51:00Z</dcterms:modified>
</cp:coreProperties>
</file>