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B1" w:rsidRPr="00C353AF" w:rsidRDefault="007229B1" w:rsidP="007229B1">
      <w:pPr>
        <w:ind w:left="360"/>
        <w:jc w:val="center"/>
        <w:rPr>
          <w:b/>
          <w:sz w:val="32"/>
          <w:szCs w:val="32"/>
          <w:u w:val="single"/>
        </w:rPr>
      </w:pPr>
      <w:r w:rsidRPr="00C353AF">
        <w:rPr>
          <w:b/>
          <w:sz w:val="32"/>
          <w:szCs w:val="32"/>
        </w:rPr>
        <w:t xml:space="preserve">Zagadnienia z przedmiotu </w:t>
      </w:r>
      <w:r w:rsidRPr="00C353AF">
        <w:rPr>
          <w:b/>
          <w:i/>
          <w:sz w:val="32"/>
          <w:szCs w:val="32"/>
        </w:rPr>
        <w:t>Teoria i filozofia prawa</w:t>
      </w:r>
      <w:r w:rsidRPr="00C353AF">
        <w:rPr>
          <w:b/>
          <w:sz w:val="32"/>
          <w:szCs w:val="32"/>
        </w:rPr>
        <w:t xml:space="preserve"> obowiązujące </w:t>
      </w:r>
      <w:r w:rsidRPr="00C353AF">
        <w:rPr>
          <w:b/>
          <w:sz w:val="32"/>
          <w:szCs w:val="32"/>
        </w:rPr>
        <w:br/>
        <w:t xml:space="preserve">na egzaminie magisterskim na kierunku </w:t>
      </w:r>
      <w:r w:rsidRPr="00C353AF">
        <w:rPr>
          <w:b/>
          <w:sz w:val="32"/>
          <w:szCs w:val="32"/>
          <w:u w:val="single"/>
        </w:rPr>
        <w:t>Administracja</w:t>
      </w:r>
    </w:p>
    <w:p w:rsidR="007229B1" w:rsidRPr="00C353AF" w:rsidRDefault="007229B1" w:rsidP="007229B1">
      <w:pPr>
        <w:ind w:left="360"/>
        <w:jc w:val="center"/>
        <w:rPr>
          <w:b/>
          <w:sz w:val="32"/>
          <w:szCs w:val="32"/>
        </w:rPr>
      </w:pPr>
      <w:r w:rsidRPr="00C353AF">
        <w:rPr>
          <w:b/>
          <w:sz w:val="32"/>
          <w:szCs w:val="32"/>
        </w:rPr>
        <w:t>od roku akademickiego 2010/2011</w:t>
      </w:r>
    </w:p>
    <w:p w:rsidR="007229B1" w:rsidRPr="00C353AF" w:rsidRDefault="007229B1" w:rsidP="007229B1">
      <w:pPr>
        <w:ind w:left="360"/>
        <w:jc w:val="center"/>
        <w:rPr>
          <w:b/>
        </w:rPr>
      </w:pPr>
    </w:p>
    <w:p w:rsidR="007229B1" w:rsidRPr="00C353AF" w:rsidRDefault="007229B1" w:rsidP="007229B1">
      <w:pPr>
        <w:ind w:left="360"/>
      </w:pPr>
    </w:p>
    <w:p w:rsidR="007229B1" w:rsidRPr="00C353AF" w:rsidRDefault="007229B1" w:rsidP="007229B1">
      <w:pPr>
        <w:numPr>
          <w:ilvl w:val="0"/>
          <w:numId w:val="1"/>
        </w:numPr>
        <w:rPr>
          <w:strike/>
        </w:rPr>
      </w:pPr>
      <w:r w:rsidRPr="00C353AF">
        <w:t xml:space="preserve">Teoria prawa i filozofia prawa jako dyscypliny prawoznawstwa </w:t>
      </w:r>
    </w:p>
    <w:p w:rsidR="007229B1" w:rsidRPr="00C353AF" w:rsidRDefault="007229B1" w:rsidP="007229B1">
      <w:pPr>
        <w:numPr>
          <w:ilvl w:val="0"/>
          <w:numId w:val="1"/>
        </w:numPr>
        <w:rPr>
          <w:strike/>
        </w:rPr>
      </w:pPr>
      <w:r w:rsidRPr="00C353AF">
        <w:t xml:space="preserve">Dogmatyka prawa </w:t>
      </w:r>
    </w:p>
    <w:p w:rsidR="007229B1" w:rsidRPr="00C353AF" w:rsidRDefault="007229B1" w:rsidP="007229B1">
      <w:pPr>
        <w:numPr>
          <w:ilvl w:val="0"/>
          <w:numId w:val="1"/>
        </w:numPr>
        <w:rPr>
          <w:strike/>
        </w:rPr>
      </w:pPr>
      <w:r w:rsidRPr="00C353AF">
        <w:t>Problematyka badawcza prawoznawstwa</w:t>
      </w:r>
    </w:p>
    <w:p w:rsidR="007229B1" w:rsidRPr="00C353AF" w:rsidRDefault="007229B1" w:rsidP="007229B1">
      <w:pPr>
        <w:numPr>
          <w:ilvl w:val="0"/>
          <w:numId w:val="1"/>
        </w:numPr>
      </w:pPr>
      <w:r w:rsidRPr="00C353AF">
        <w:t>Kompetencja prawna</w:t>
      </w:r>
    </w:p>
    <w:p w:rsidR="007229B1" w:rsidRPr="00C353AF" w:rsidRDefault="007229B1" w:rsidP="007229B1">
      <w:pPr>
        <w:numPr>
          <w:ilvl w:val="0"/>
          <w:numId w:val="1"/>
        </w:numPr>
        <w:rPr>
          <w:strike/>
        </w:rPr>
      </w:pPr>
      <w:r w:rsidRPr="00C353AF">
        <w:t>Rozczłonkowanie i kondensacja norm w tekście prawnym</w:t>
      </w:r>
    </w:p>
    <w:p w:rsidR="007229B1" w:rsidRPr="00C353AF" w:rsidRDefault="007229B1" w:rsidP="007229B1">
      <w:pPr>
        <w:numPr>
          <w:ilvl w:val="0"/>
          <w:numId w:val="1"/>
        </w:numPr>
      </w:pPr>
      <w:r w:rsidRPr="00C353AF">
        <w:t>Zasady prawa</w:t>
      </w:r>
    </w:p>
    <w:p w:rsidR="007229B1" w:rsidRPr="00C353AF" w:rsidRDefault="007229B1" w:rsidP="007229B1">
      <w:pPr>
        <w:numPr>
          <w:ilvl w:val="0"/>
          <w:numId w:val="1"/>
        </w:numPr>
      </w:pPr>
      <w:r w:rsidRPr="00C353AF">
        <w:t>Obowiązywanie normy</w:t>
      </w:r>
    </w:p>
    <w:p w:rsidR="007229B1" w:rsidRPr="00C353AF" w:rsidRDefault="007229B1" w:rsidP="007229B1">
      <w:pPr>
        <w:numPr>
          <w:ilvl w:val="0"/>
          <w:numId w:val="1"/>
        </w:numPr>
        <w:rPr>
          <w:strike/>
        </w:rPr>
      </w:pPr>
      <w:r w:rsidRPr="00C353AF">
        <w:t>Pozytywizm prawniczy</w:t>
      </w:r>
    </w:p>
    <w:p w:rsidR="007229B1" w:rsidRPr="00C353AF" w:rsidRDefault="007229B1" w:rsidP="007229B1">
      <w:pPr>
        <w:numPr>
          <w:ilvl w:val="0"/>
          <w:numId w:val="1"/>
        </w:numPr>
      </w:pPr>
      <w:proofErr w:type="spellStart"/>
      <w:r w:rsidRPr="00C353AF">
        <w:t>Jusnaturalizm</w:t>
      </w:r>
      <w:proofErr w:type="spellEnd"/>
      <w:r>
        <w:t xml:space="preserve"> (koncepcje prawa natury)</w:t>
      </w:r>
    </w:p>
    <w:p w:rsidR="007229B1" w:rsidRPr="00C353AF" w:rsidRDefault="007229B1" w:rsidP="007229B1">
      <w:pPr>
        <w:numPr>
          <w:ilvl w:val="0"/>
          <w:numId w:val="1"/>
        </w:numPr>
      </w:pPr>
      <w:r w:rsidRPr="00C353AF">
        <w:t>Komunikacyjna koncepcja prawa</w:t>
      </w:r>
    </w:p>
    <w:p w:rsidR="007229B1" w:rsidRPr="00C353AF" w:rsidRDefault="007229B1" w:rsidP="007229B1">
      <w:pPr>
        <w:numPr>
          <w:ilvl w:val="0"/>
          <w:numId w:val="1"/>
        </w:numPr>
        <w:rPr>
          <w:strike/>
        </w:rPr>
      </w:pPr>
      <w:r w:rsidRPr="00C353AF">
        <w:t>Prawodawca racjonalny</w:t>
      </w:r>
    </w:p>
    <w:p w:rsidR="007229B1" w:rsidRPr="00C353AF" w:rsidRDefault="007229B1" w:rsidP="007229B1">
      <w:pPr>
        <w:numPr>
          <w:ilvl w:val="0"/>
          <w:numId w:val="1"/>
        </w:numPr>
      </w:pPr>
      <w:r w:rsidRPr="00C353AF">
        <w:t>Realizm prawniczy</w:t>
      </w:r>
    </w:p>
    <w:p w:rsidR="007229B1" w:rsidRPr="00C353AF" w:rsidRDefault="007229B1" w:rsidP="007229B1">
      <w:pPr>
        <w:numPr>
          <w:ilvl w:val="0"/>
          <w:numId w:val="1"/>
        </w:numPr>
      </w:pPr>
      <w:r w:rsidRPr="00C353AF">
        <w:t>Precedens</w:t>
      </w:r>
    </w:p>
    <w:p w:rsidR="007229B1" w:rsidRPr="00C353AF" w:rsidRDefault="007229B1" w:rsidP="007229B1">
      <w:pPr>
        <w:numPr>
          <w:ilvl w:val="0"/>
          <w:numId w:val="1"/>
        </w:numPr>
        <w:rPr>
          <w:strike/>
        </w:rPr>
      </w:pPr>
      <w:r w:rsidRPr="00C353AF">
        <w:t>Funkcje wypowiedzi językowej</w:t>
      </w:r>
    </w:p>
    <w:p w:rsidR="007229B1" w:rsidRPr="00C353AF" w:rsidRDefault="007229B1" w:rsidP="007229B1">
      <w:pPr>
        <w:numPr>
          <w:ilvl w:val="0"/>
          <w:numId w:val="1"/>
        </w:numPr>
        <w:rPr>
          <w:strike/>
        </w:rPr>
      </w:pPr>
      <w:r w:rsidRPr="00C353AF">
        <w:t>Autonomia i instrumentalizacja prawa</w:t>
      </w:r>
    </w:p>
    <w:p w:rsidR="007229B1" w:rsidRPr="00C353AF" w:rsidRDefault="007229B1" w:rsidP="007229B1">
      <w:pPr>
        <w:numPr>
          <w:ilvl w:val="0"/>
          <w:numId w:val="1"/>
        </w:numPr>
      </w:pPr>
      <w:r w:rsidRPr="00C353AF">
        <w:t>Normatywna koncepcja źródeł prawa</w:t>
      </w:r>
    </w:p>
    <w:p w:rsidR="007229B1" w:rsidRPr="00C353AF" w:rsidRDefault="007229B1" w:rsidP="007229B1">
      <w:pPr>
        <w:numPr>
          <w:ilvl w:val="0"/>
          <w:numId w:val="1"/>
        </w:numPr>
      </w:pPr>
      <w:r w:rsidRPr="00C353AF">
        <w:t>Język prawny i prawniczy</w:t>
      </w:r>
    </w:p>
    <w:p w:rsidR="007229B1" w:rsidRPr="00C353AF" w:rsidRDefault="007229B1" w:rsidP="007229B1">
      <w:pPr>
        <w:numPr>
          <w:ilvl w:val="0"/>
          <w:numId w:val="1"/>
        </w:numPr>
      </w:pPr>
      <w:r w:rsidRPr="00C353AF">
        <w:t>Pojęcie wykładni prawa</w:t>
      </w:r>
    </w:p>
    <w:p w:rsidR="007229B1" w:rsidRPr="00C353AF" w:rsidRDefault="007229B1" w:rsidP="007229B1">
      <w:pPr>
        <w:numPr>
          <w:ilvl w:val="0"/>
          <w:numId w:val="1"/>
        </w:numPr>
      </w:pPr>
      <w:proofErr w:type="spellStart"/>
      <w:r w:rsidRPr="00C353AF">
        <w:t>Klaryfikacyjna</w:t>
      </w:r>
      <w:proofErr w:type="spellEnd"/>
      <w:r w:rsidRPr="00C353AF">
        <w:t xml:space="preserve"> koncepcja wykładni</w:t>
      </w:r>
    </w:p>
    <w:p w:rsidR="007229B1" w:rsidRPr="00C353AF" w:rsidRDefault="007229B1" w:rsidP="007229B1">
      <w:pPr>
        <w:numPr>
          <w:ilvl w:val="0"/>
          <w:numId w:val="1"/>
        </w:numPr>
        <w:rPr>
          <w:strike/>
        </w:rPr>
      </w:pPr>
      <w:r w:rsidRPr="00C353AF">
        <w:t>Derywacyjna koncepcja wykładni</w:t>
      </w:r>
    </w:p>
    <w:p w:rsidR="007229B1" w:rsidRPr="00C353AF" w:rsidRDefault="007229B1" w:rsidP="007229B1">
      <w:pPr>
        <w:numPr>
          <w:ilvl w:val="0"/>
          <w:numId w:val="1"/>
        </w:numPr>
        <w:rPr>
          <w:strike/>
        </w:rPr>
      </w:pPr>
      <w:r w:rsidRPr="00C353AF">
        <w:t>Dyrektywy interpretacyjne</w:t>
      </w:r>
    </w:p>
    <w:p w:rsidR="007229B1" w:rsidRPr="00C353AF" w:rsidRDefault="007229B1" w:rsidP="007229B1">
      <w:pPr>
        <w:numPr>
          <w:ilvl w:val="0"/>
          <w:numId w:val="1"/>
        </w:numPr>
        <w:rPr>
          <w:i/>
          <w:strike/>
        </w:rPr>
      </w:pPr>
      <w:r w:rsidRPr="00C353AF">
        <w:t>Statyczna ideologia wykładni prawa</w:t>
      </w:r>
    </w:p>
    <w:p w:rsidR="007229B1" w:rsidRPr="00C353AF" w:rsidRDefault="007229B1" w:rsidP="007229B1">
      <w:pPr>
        <w:numPr>
          <w:ilvl w:val="0"/>
          <w:numId w:val="1"/>
        </w:numPr>
        <w:rPr>
          <w:strike/>
        </w:rPr>
      </w:pPr>
      <w:r w:rsidRPr="00C353AF">
        <w:t>Dynamiczna ideologia wykładni prawa</w:t>
      </w:r>
    </w:p>
    <w:p w:rsidR="007229B1" w:rsidRPr="00C353AF" w:rsidRDefault="007229B1" w:rsidP="007229B1">
      <w:pPr>
        <w:numPr>
          <w:ilvl w:val="0"/>
          <w:numId w:val="1"/>
        </w:numPr>
      </w:pPr>
      <w:proofErr w:type="spellStart"/>
      <w:r w:rsidRPr="00C353AF">
        <w:t>Konkluzywność</w:t>
      </w:r>
      <w:proofErr w:type="spellEnd"/>
      <w:r w:rsidRPr="00C353AF">
        <w:t xml:space="preserve"> rozstrzygnięcia</w:t>
      </w:r>
    </w:p>
    <w:p w:rsidR="007229B1" w:rsidRPr="00C353AF" w:rsidRDefault="007229B1" w:rsidP="007229B1">
      <w:pPr>
        <w:numPr>
          <w:ilvl w:val="0"/>
          <w:numId w:val="1"/>
        </w:numPr>
        <w:rPr>
          <w:strike/>
        </w:rPr>
      </w:pPr>
      <w:r w:rsidRPr="00C353AF">
        <w:t xml:space="preserve">Pojęcie systemu prawa </w:t>
      </w:r>
    </w:p>
    <w:p w:rsidR="007229B1" w:rsidRPr="00C353AF" w:rsidRDefault="007229B1" w:rsidP="007229B1">
      <w:pPr>
        <w:numPr>
          <w:ilvl w:val="0"/>
          <w:numId w:val="1"/>
        </w:numPr>
        <w:rPr>
          <w:strike/>
        </w:rPr>
      </w:pPr>
      <w:r w:rsidRPr="00C353AF">
        <w:t>Ideologia swobodnej decyzji stosowania prawa</w:t>
      </w:r>
    </w:p>
    <w:p w:rsidR="007229B1" w:rsidRPr="00C353AF" w:rsidRDefault="007229B1" w:rsidP="007229B1">
      <w:pPr>
        <w:numPr>
          <w:ilvl w:val="0"/>
          <w:numId w:val="1"/>
        </w:numPr>
      </w:pPr>
      <w:r w:rsidRPr="00C353AF">
        <w:t>Ideologia związanej decyzji stosowania prawa</w:t>
      </w:r>
    </w:p>
    <w:p w:rsidR="007229B1" w:rsidRPr="00C353AF" w:rsidRDefault="007229B1" w:rsidP="007229B1">
      <w:pPr>
        <w:numPr>
          <w:ilvl w:val="0"/>
          <w:numId w:val="1"/>
        </w:numPr>
      </w:pPr>
      <w:r w:rsidRPr="00C353AF">
        <w:t>Wnioskowania prawnicze a wykładnia prawa</w:t>
      </w:r>
    </w:p>
    <w:p w:rsidR="007229B1" w:rsidRPr="00C353AF" w:rsidRDefault="007229B1" w:rsidP="007229B1">
      <w:pPr>
        <w:numPr>
          <w:ilvl w:val="0"/>
          <w:numId w:val="1"/>
        </w:numPr>
        <w:rPr>
          <w:strike/>
        </w:rPr>
      </w:pPr>
      <w:r w:rsidRPr="00C353AF">
        <w:t>Kierowniczy model stosowania prawa</w:t>
      </w:r>
    </w:p>
    <w:p w:rsidR="007229B1" w:rsidRPr="00C353AF" w:rsidRDefault="007229B1" w:rsidP="007229B1">
      <w:pPr>
        <w:numPr>
          <w:ilvl w:val="0"/>
          <w:numId w:val="1"/>
        </w:numPr>
      </w:pPr>
      <w:r w:rsidRPr="00C353AF">
        <w:t>Sądowy model stosowania prawa</w:t>
      </w:r>
    </w:p>
    <w:p w:rsidR="007229B1" w:rsidRPr="00C353AF" w:rsidRDefault="007229B1" w:rsidP="007229B1"/>
    <w:p w:rsidR="007229B1" w:rsidRPr="00C353AF" w:rsidRDefault="007229B1" w:rsidP="007229B1"/>
    <w:p w:rsidR="007229B1" w:rsidRPr="00C353AF" w:rsidRDefault="007229B1" w:rsidP="007229B1">
      <w:pPr>
        <w:jc w:val="both"/>
      </w:pPr>
      <w:r w:rsidRPr="00C353AF">
        <w:t xml:space="preserve">Zagadnienia egzaminacyjne zostały opracowane na podstawie: </w:t>
      </w:r>
    </w:p>
    <w:p w:rsidR="007229B1" w:rsidRPr="00C353AF" w:rsidRDefault="007229B1" w:rsidP="007229B1">
      <w:pPr>
        <w:jc w:val="both"/>
      </w:pPr>
    </w:p>
    <w:p w:rsidR="007229B1" w:rsidRPr="00F66537" w:rsidRDefault="007229B1" w:rsidP="007229B1">
      <w:pPr>
        <w:jc w:val="both"/>
      </w:pPr>
      <w:r>
        <w:t xml:space="preserve">A. Bator, W. </w:t>
      </w:r>
      <w:proofErr w:type="spellStart"/>
      <w:r>
        <w:t>Gromski</w:t>
      </w:r>
      <w:proofErr w:type="spellEnd"/>
      <w:r>
        <w:t xml:space="preserve">, A. Kozak, S. Kaźmierczyk, Z. Pulka, </w:t>
      </w:r>
      <w:r>
        <w:rPr>
          <w:i/>
        </w:rPr>
        <w:t xml:space="preserve">Wprowadzenie do nauk prawnych. Leksykon tematyczny, </w:t>
      </w:r>
      <w:r>
        <w:t>Wydanie nr III, Warszawa 2010</w:t>
      </w:r>
      <w:r w:rsidRPr="00F66537">
        <w:t>.</w:t>
      </w:r>
    </w:p>
    <w:p w:rsidR="007229B1" w:rsidRPr="00C353AF" w:rsidRDefault="007229B1" w:rsidP="007229B1">
      <w:pPr>
        <w:jc w:val="both"/>
      </w:pPr>
      <w:r w:rsidRPr="00C353AF">
        <w:t xml:space="preserve">S. Wronkowska, Z. Ziembiński, </w:t>
      </w:r>
      <w:r w:rsidRPr="00C353AF">
        <w:rPr>
          <w:i/>
        </w:rPr>
        <w:t>Zarys teorii prawa.</w:t>
      </w:r>
    </w:p>
    <w:p w:rsidR="007229B1" w:rsidRPr="00C353AF" w:rsidRDefault="007229B1" w:rsidP="007229B1"/>
    <w:p w:rsidR="000F352C" w:rsidRDefault="000F352C"/>
    <w:sectPr w:rsidR="000F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15D0"/>
    <w:multiLevelType w:val="hybridMultilevel"/>
    <w:tmpl w:val="C914860C"/>
    <w:lvl w:ilvl="0" w:tplc="1A4C4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29B1"/>
    <w:rsid w:val="000F352C"/>
    <w:rsid w:val="00722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Wiola</cp:lastModifiedBy>
  <cp:revision>1</cp:revision>
  <dcterms:created xsi:type="dcterms:W3CDTF">2011-01-10T15:59:00Z</dcterms:created>
  <dcterms:modified xsi:type="dcterms:W3CDTF">2011-01-10T16:00:00Z</dcterms:modified>
</cp:coreProperties>
</file>