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893A9" w14:textId="77777777" w:rsidR="000E1D99" w:rsidRDefault="000E1D99" w:rsidP="000E1D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Karol Jarząbek</w:t>
      </w:r>
    </w:p>
    <w:p w14:paraId="15758ED7" w14:textId="77777777" w:rsidR="000E1D99" w:rsidRDefault="000E1D99" w:rsidP="000E1D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Katedra Postępowania Karnego</w:t>
      </w:r>
    </w:p>
    <w:p w14:paraId="59F59CC7" w14:textId="77777777" w:rsidR="000E1D99" w:rsidRDefault="000E1D99" w:rsidP="000E1D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 Prawa, Administracji i Ekonomii</w:t>
      </w:r>
    </w:p>
    <w:p w14:paraId="3E8C73DB" w14:textId="77777777" w:rsidR="000E1D99" w:rsidRDefault="000E1D99" w:rsidP="000E1D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Uniwersytet Wrocławski</w:t>
      </w:r>
    </w:p>
    <w:p w14:paraId="4754F284" w14:textId="77777777" w:rsidR="000E1D99" w:rsidRDefault="000E1D99" w:rsidP="003F2D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E43D56" w14:textId="0E9F137F" w:rsidR="00C22698" w:rsidRPr="000E1D99" w:rsidRDefault="000822E9" w:rsidP="000E1D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D99">
        <w:rPr>
          <w:rFonts w:ascii="Times New Roman" w:hAnsi="Times New Roman" w:cs="Times New Roman"/>
          <w:b/>
          <w:bCs/>
          <w:sz w:val="24"/>
          <w:szCs w:val="24"/>
        </w:rPr>
        <w:t>Kryminologia prawnicza - studia niestacjonarne, II stopień</w:t>
      </w:r>
    </w:p>
    <w:p w14:paraId="07BBA34A" w14:textId="3EC6C50B" w:rsidR="000822E9" w:rsidRDefault="000822E9" w:rsidP="000E1D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D99">
        <w:rPr>
          <w:rFonts w:ascii="Times New Roman" w:hAnsi="Times New Roman" w:cs="Times New Roman"/>
          <w:b/>
          <w:bCs/>
          <w:sz w:val="24"/>
          <w:szCs w:val="24"/>
        </w:rPr>
        <w:t>Prawo karne procesowe – wykład 40 godzin/ćwiczenia 20 godzin</w:t>
      </w:r>
    </w:p>
    <w:p w14:paraId="442CCC14" w14:textId="77777777" w:rsidR="000E1D99" w:rsidRDefault="000E1D99" w:rsidP="000E1D9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859F51" w14:textId="4340BC93" w:rsidR="000E1D99" w:rsidRDefault="000E1D99" w:rsidP="000E1D9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Plan wykładu:</w:t>
      </w:r>
    </w:p>
    <w:p w14:paraId="006B7957" w14:textId="77777777" w:rsidR="000E1D99" w:rsidRDefault="000E1D99" w:rsidP="000E1D9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E18753" w14:textId="37575F22" w:rsidR="000E1D99" w:rsidRPr="000E1D99" w:rsidRDefault="000E1D99" w:rsidP="000E1D9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Semestr zimowy:</w:t>
      </w:r>
    </w:p>
    <w:p w14:paraId="4BEF0C96" w14:textId="2CC2B7FA" w:rsidR="000822E9" w:rsidRPr="000E1D99" w:rsidRDefault="000822E9" w:rsidP="003F2D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85510F" w14:textId="0CB13F92" w:rsidR="005473DD" w:rsidRDefault="000822E9" w:rsidP="000E1D9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D99">
        <w:rPr>
          <w:rFonts w:ascii="Times New Roman" w:hAnsi="Times New Roman" w:cs="Times New Roman"/>
          <w:sz w:val="24"/>
          <w:szCs w:val="24"/>
        </w:rPr>
        <w:t>Podstawowe pojęcia z zakresu prawa karnego procesowego.</w:t>
      </w:r>
      <w:r w:rsidR="005473DD" w:rsidRPr="000E1D99">
        <w:rPr>
          <w:rFonts w:ascii="Times New Roman" w:hAnsi="Times New Roman" w:cs="Times New Roman"/>
          <w:sz w:val="24"/>
          <w:szCs w:val="24"/>
        </w:rPr>
        <w:t xml:space="preserve"> Źródła prawa karnego procesowego.</w:t>
      </w:r>
      <w:r w:rsidRPr="000E1D99">
        <w:rPr>
          <w:rFonts w:ascii="Times New Roman" w:hAnsi="Times New Roman" w:cs="Times New Roman"/>
          <w:sz w:val="24"/>
          <w:szCs w:val="24"/>
        </w:rPr>
        <w:t xml:space="preserve"> Aksjologia</w:t>
      </w:r>
      <w:r w:rsidR="005473DD" w:rsidRPr="000E1D99">
        <w:rPr>
          <w:rFonts w:ascii="Times New Roman" w:hAnsi="Times New Roman" w:cs="Times New Roman"/>
          <w:sz w:val="24"/>
          <w:szCs w:val="24"/>
        </w:rPr>
        <w:t>, cele i granice</w:t>
      </w:r>
      <w:r w:rsidRPr="000E1D99">
        <w:rPr>
          <w:rFonts w:ascii="Times New Roman" w:hAnsi="Times New Roman" w:cs="Times New Roman"/>
          <w:sz w:val="24"/>
          <w:szCs w:val="24"/>
        </w:rPr>
        <w:t xml:space="preserve"> procesu karnego. </w:t>
      </w:r>
      <w:r w:rsidR="005473DD" w:rsidRPr="000E1D99">
        <w:rPr>
          <w:rFonts w:ascii="Times New Roman" w:hAnsi="Times New Roman" w:cs="Times New Roman"/>
          <w:sz w:val="24"/>
          <w:szCs w:val="24"/>
        </w:rPr>
        <w:t>Funkcje procesowe</w:t>
      </w:r>
      <w:r w:rsidRPr="000E1D99">
        <w:rPr>
          <w:rFonts w:ascii="Times New Roman" w:hAnsi="Times New Roman" w:cs="Times New Roman"/>
          <w:sz w:val="24"/>
          <w:szCs w:val="24"/>
        </w:rPr>
        <w:t xml:space="preserve"> procesu karnego.</w:t>
      </w:r>
      <w:r w:rsidR="000E1D99">
        <w:rPr>
          <w:rFonts w:ascii="Times New Roman" w:hAnsi="Times New Roman" w:cs="Times New Roman"/>
          <w:sz w:val="24"/>
          <w:szCs w:val="24"/>
        </w:rPr>
        <w:t xml:space="preserve"> Proces kontradyktoryjny i inkwizycyjny. Zasada prawdy materialnej.</w:t>
      </w:r>
    </w:p>
    <w:p w14:paraId="6BA95C62" w14:textId="77777777" w:rsidR="000E1D99" w:rsidRPr="000E1D99" w:rsidRDefault="000E1D99" w:rsidP="000E1D9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CFBE76" w14:textId="36CA427C" w:rsidR="000E1D99" w:rsidRPr="000E1D99" w:rsidRDefault="000822E9" w:rsidP="000E1D9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D99">
        <w:rPr>
          <w:rFonts w:ascii="Times New Roman" w:hAnsi="Times New Roman" w:cs="Times New Roman"/>
          <w:sz w:val="24"/>
          <w:szCs w:val="24"/>
        </w:rPr>
        <w:t xml:space="preserve">Strony i uczestnicy procesu. </w:t>
      </w:r>
      <w:r w:rsidR="000E1D99">
        <w:rPr>
          <w:rFonts w:ascii="Times New Roman" w:hAnsi="Times New Roman" w:cs="Times New Roman"/>
          <w:sz w:val="24"/>
          <w:szCs w:val="24"/>
        </w:rPr>
        <w:t xml:space="preserve">Organy procesowe. Sąd i prokurator. Zasada obiektywizmu. </w:t>
      </w:r>
      <w:r w:rsidRPr="000E1D99">
        <w:rPr>
          <w:rFonts w:ascii="Times New Roman" w:hAnsi="Times New Roman" w:cs="Times New Roman"/>
          <w:sz w:val="24"/>
          <w:szCs w:val="24"/>
        </w:rPr>
        <w:t>Wyłączenie sędziego</w:t>
      </w:r>
      <w:r w:rsidR="005473DD" w:rsidRPr="000E1D99">
        <w:rPr>
          <w:rFonts w:ascii="Times New Roman" w:hAnsi="Times New Roman" w:cs="Times New Roman"/>
          <w:sz w:val="24"/>
          <w:szCs w:val="24"/>
        </w:rPr>
        <w:t>.</w:t>
      </w:r>
    </w:p>
    <w:p w14:paraId="41D7E516" w14:textId="77777777" w:rsidR="000E1D99" w:rsidRPr="000E1D99" w:rsidRDefault="000E1D99" w:rsidP="000E1D9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C98A65" w14:textId="31404F0C" w:rsidR="000822E9" w:rsidRDefault="005473DD" w:rsidP="000E1D9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D99">
        <w:rPr>
          <w:rFonts w:ascii="Times New Roman" w:hAnsi="Times New Roman" w:cs="Times New Roman"/>
          <w:sz w:val="24"/>
          <w:szCs w:val="24"/>
        </w:rPr>
        <w:t>Oskarżony i jego o</w:t>
      </w:r>
      <w:r w:rsidR="000822E9" w:rsidRPr="000E1D99">
        <w:rPr>
          <w:rFonts w:ascii="Times New Roman" w:hAnsi="Times New Roman" w:cs="Times New Roman"/>
          <w:sz w:val="24"/>
          <w:szCs w:val="24"/>
        </w:rPr>
        <w:t>brońca</w:t>
      </w:r>
      <w:r w:rsidRPr="000E1D99">
        <w:rPr>
          <w:rFonts w:ascii="Times New Roman" w:hAnsi="Times New Roman" w:cs="Times New Roman"/>
          <w:sz w:val="24"/>
          <w:szCs w:val="24"/>
        </w:rPr>
        <w:t xml:space="preserve">. </w:t>
      </w:r>
      <w:r w:rsidR="000E1D99">
        <w:rPr>
          <w:rFonts w:ascii="Times New Roman" w:hAnsi="Times New Roman" w:cs="Times New Roman"/>
          <w:sz w:val="24"/>
          <w:szCs w:val="24"/>
        </w:rPr>
        <w:t xml:space="preserve">Zasada prawa do obrony. </w:t>
      </w:r>
      <w:r w:rsidRPr="000E1D99">
        <w:rPr>
          <w:rFonts w:ascii="Times New Roman" w:hAnsi="Times New Roman" w:cs="Times New Roman"/>
          <w:sz w:val="24"/>
          <w:szCs w:val="24"/>
        </w:rPr>
        <w:t xml:space="preserve">Pokrzywdzony i jego </w:t>
      </w:r>
      <w:r w:rsidR="000822E9" w:rsidRPr="000E1D99">
        <w:rPr>
          <w:rFonts w:ascii="Times New Roman" w:hAnsi="Times New Roman" w:cs="Times New Roman"/>
          <w:sz w:val="24"/>
          <w:szCs w:val="24"/>
        </w:rPr>
        <w:t>pełnomocnik</w:t>
      </w:r>
      <w:r w:rsidRPr="000E1D99">
        <w:rPr>
          <w:rFonts w:ascii="Times New Roman" w:hAnsi="Times New Roman" w:cs="Times New Roman"/>
          <w:sz w:val="24"/>
          <w:szCs w:val="24"/>
        </w:rPr>
        <w:t>.</w:t>
      </w:r>
    </w:p>
    <w:p w14:paraId="18757164" w14:textId="77777777" w:rsidR="000E1D99" w:rsidRPr="000E1D99" w:rsidRDefault="000E1D99" w:rsidP="000E1D9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1A16A3D" w14:textId="145E5E4A" w:rsidR="000E1D99" w:rsidRPr="000E1D99" w:rsidRDefault="000E1D99" w:rsidP="000E1D9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Kontynuacja zagadnień z wykładu nr 3.</w:t>
      </w:r>
    </w:p>
    <w:p w14:paraId="04625787" w14:textId="77777777" w:rsidR="005473DD" w:rsidRPr="000E1D99" w:rsidRDefault="005473DD" w:rsidP="000E1D9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27420" w14:textId="6CCBC111" w:rsidR="000822E9" w:rsidRDefault="000822E9" w:rsidP="000E1D9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D99">
        <w:rPr>
          <w:rFonts w:ascii="Times New Roman" w:hAnsi="Times New Roman" w:cs="Times New Roman"/>
          <w:sz w:val="24"/>
          <w:szCs w:val="24"/>
        </w:rPr>
        <w:t>Czynności procesowe</w:t>
      </w:r>
      <w:r w:rsidR="005473DD" w:rsidRPr="000E1D99">
        <w:rPr>
          <w:rFonts w:ascii="Times New Roman" w:hAnsi="Times New Roman" w:cs="Times New Roman"/>
          <w:sz w:val="24"/>
          <w:szCs w:val="24"/>
        </w:rPr>
        <w:t>. Rodzaje czynności procesowych. Prawidłowość czynności procesowych. Rodzaje wadliwości czynności procesowych i ich skutki.</w:t>
      </w:r>
    </w:p>
    <w:p w14:paraId="266E3506" w14:textId="77777777" w:rsidR="000E1D99" w:rsidRPr="000E1D99" w:rsidRDefault="000E1D99" w:rsidP="000E1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7CB49F" w14:textId="0BD67553" w:rsidR="000822E9" w:rsidRPr="000E1D99" w:rsidRDefault="000822E9" w:rsidP="000E1D9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D99">
        <w:rPr>
          <w:rFonts w:ascii="Times New Roman" w:hAnsi="Times New Roman" w:cs="Times New Roman"/>
          <w:sz w:val="24"/>
          <w:szCs w:val="24"/>
        </w:rPr>
        <w:t>Zasady udziału stron w postępowaniu karnym</w:t>
      </w:r>
      <w:r w:rsidR="005473DD" w:rsidRPr="000E1D99">
        <w:rPr>
          <w:rFonts w:ascii="Times New Roman" w:hAnsi="Times New Roman" w:cs="Times New Roman"/>
          <w:sz w:val="24"/>
          <w:szCs w:val="24"/>
        </w:rPr>
        <w:t>. Wyrok. Postanowienie.</w:t>
      </w:r>
    </w:p>
    <w:p w14:paraId="4F07778A" w14:textId="77777777" w:rsidR="005473DD" w:rsidRPr="000E1D99" w:rsidRDefault="005473DD" w:rsidP="000E1D9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0BDF19" w14:textId="0C786E6E" w:rsidR="000822E9" w:rsidRDefault="000822E9" w:rsidP="000E1D9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D99">
        <w:rPr>
          <w:rFonts w:ascii="Times New Roman" w:hAnsi="Times New Roman" w:cs="Times New Roman"/>
          <w:sz w:val="24"/>
          <w:szCs w:val="24"/>
        </w:rPr>
        <w:t>Zagadnienia dowodowe w procesie karnym</w:t>
      </w:r>
      <w:r w:rsidR="005473DD" w:rsidRPr="000E1D99">
        <w:rPr>
          <w:rFonts w:ascii="Times New Roman" w:hAnsi="Times New Roman" w:cs="Times New Roman"/>
          <w:sz w:val="24"/>
          <w:szCs w:val="24"/>
        </w:rPr>
        <w:t xml:space="preserve">. Pojęcie dowodu. Rodzaje dowodów. Klasyfikacja dowodów. Wprowadzanie dowodów do procesu karnego. Przeprowadzenie i ocena dowodów. </w:t>
      </w:r>
    </w:p>
    <w:p w14:paraId="31C4201F" w14:textId="77777777" w:rsidR="000E1D99" w:rsidRPr="000E1D99" w:rsidRDefault="000E1D99" w:rsidP="000E1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5A302B" w14:textId="3AE7ADBE" w:rsidR="000822E9" w:rsidRPr="000E1D99" w:rsidRDefault="000822E9" w:rsidP="000E1D9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D99">
        <w:rPr>
          <w:rFonts w:ascii="Times New Roman" w:hAnsi="Times New Roman" w:cs="Times New Roman"/>
          <w:sz w:val="24"/>
          <w:szCs w:val="24"/>
        </w:rPr>
        <w:t>Zagadnienia dowodowe w procesie karnym</w:t>
      </w:r>
      <w:r w:rsidR="005473DD" w:rsidRPr="000E1D99">
        <w:rPr>
          <w:rFonts w:ascii="Times New Roman" w:hAnsi="Times New Roman" w:cs="Times New Roman"/>
          <w:sz w:val="24"/>
          <w:szCs w:val="24"/>
        </w:rPr>
        <w:t xml:space="preserve">. </w:t>
      </w:r>
      <w:r w:rsidR="003F2D0A" w:rsidRPr="000E1D99">
        <w:rPr>
          <w:rFonts w:ascii="Times New Roman" w:hAnsi="Times New Roman" w:cs="Times New Roman"/>
          <w:sz w:val="24"/>
          <w:szCs w:val="24"/>
        </w:rPr>
        <w:t>Poszczególne czynności dowodowe. Zarys problematyki zakazów dowodowych i dowodów zebranych w sposób sprzeczny z ustawą.</w:t>
      </w:r>
    </w:p>
    <w:p w14:paraId="09804764" w14:textId="77777777" w:rsidR="005473DD" w:rsidRPr="000E1D99" w:rsidRDefault="005473DD" w:rsidP="000E1D9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3DFDA9" w14:textId="412D0CC0" w:rsidR="000822E9" w:rsidRDefault="000822E9" w:rsidP="000E1D9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D99">
        <w:rPr>
          <w:rFonts w:ascii="Times New Roman" w:hAnsi="Times New Roman" w:cs="Times New Roman"/>
          <w:sz w:val="24"/>
          <w:szCs w:val="24"/>
        </w:rPr>
        <w:t>Środki przymusu procesowego</w:t>
      </w:r>
    </w:p>
    <w:p w14:paraId="56E4FFAF" w14:textId="77777777" w:rsidR="000E1D99" w:rsidRPr="000E1D99" w:rsidRDefault="000E1D99" w:rsidP="000E1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4EE76E" w14:textId="193F7590" w:rsidR="000822E9" w:rsidRDefault="000822E9" w:rsidP="000E1D9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D99">
        <w:rPr>
          <w:rFonts w:ascii="Times New Roman" w:hAnsi="Times New Roman" w:cs="Times New Roman"/>
          <w:sz w:val="24"/>
          <w:szCs w:val="24"/>
        </w:rPr>
        <w:t>Środki przymusu procesowego</w:t>
      </w:r>
    </w:p>
    <w:p w14:paraId="51A62820" w14:textId="77777777" w:rsidR="00A00CFB" w:rsidRPr="00A00CFB" w:rsidRDefault="00A00CFB" w:rsidP="00A00CF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148D1D2" w14:textId="5B770CB4" w:rsidR="00A00CFB" w:rsidRPr="00A00CFB" w:rsidRDefault="00A00CFB" w:rsidP="00A00CF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Semestr letni</w:t>
      </w:r>
    </w:p>
    <w:p w14:paraId="328DCB90" w14:textId="77777777" w:rsidR="005473DD" w:rsidRPr="000E1D99" w:rsidRDefault="005473DD" w:rsidP="000E1D9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2DBE86" w14:textId="01E3E74A" w:rsidR="000822E9" w:rsidRDefault="000822E9" w:rsidP="000E1D9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D99">
        <w:rPr>
          <w:rFonts w:ascii="Times New Roman" w:hAnsi="Times New Roman" w:cs="Times New Roman"/>
          <w:sz w:val="24"/>
          <w:szCs w:val="24"/>
        </w:rPr>
        <w:t>Przesłanki procesowe.</w:t>
      </w:r>
    </w:p>
    <w:p w14:paraId="1D7E8BC1" w14:textId="77777777" w:rsidR="000E1D99" w:rsidRPr="000E1D99" w:rsidRDefault="000E1D99" w:rsidP="000E1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2CB031" w14:textId="04C71A46" w:rsidR="000822E9" w:rsidRPr="000E1D99" w:rsidRDefault="000822E9" w:rsidP="000E1D9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D99">
        <w:rPr>
          <w:rFonts w:ascii="Times New Roman" w:hAnsi="Times New Roman" w:cs="Times New Roman"/>
          <w:sz w:val="24"/>
          <w:szCs w:val="24"/>
        </w:rPr>
        <w:t>Wszczęcie i przebieg postępowania przygotowawczego</w:t>
      </w:r>
    </w:p>
    <w:p w14:paraId="6547A36E" w14:textId="77777777" w:rsidR="005473DD" w:rsidRPr="000E1D99" w:rsidRDefault="005473DD" w:rsidP="000E1D9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509815" w14:textId="087D10B9" w:rsidR="000822E9" w:rsidRDefault="000822E9" w:rsidP="000E1D9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D99">
        <w:rPr>
          <w:rFonts w:ascii="Times New Roman" w:hAnsi="Times New Roman" w:cs="Times New Roman"/>
          <w:sz w:val="24"/>
          <w:szCs w:val="24"/>
        </w:rPr>
        <w:t>Zakończenie postępowania przygotowawczego</w:t>
      </w:r>
    </w:p>
    <w:p w14:paraId="102CFA12" w14:textId="77777777" w:rsidR="000E1D99" w:rsidRPr="000E1D99" w:rsidRDefault="000E1D99" w:rsidP="000E1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F7509D" w14:textId="08558F0D" w:rsidR="000822E9" w:rsidRPr="000E1D99" w:rsidRDefault="000822E9" w:rsidP="000E1D9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D99">
        <w:rPr>
          <w:rFonts w:ascii="Times New Roman" w:hAnsi="Times New Roman" w:cs="Times New Roman"/>
          <w:sz w:val="24"/>
          <w:szCs w:val="24"/>
        </w:rPr>
        <w:t>Wszczęcie postępowania sądowego przed sądem I instancji</w:t>
      </w:r>
    </w:p>
    <w:p w14:paraId="555DA244" w14:textId="77777777" w:rsidR="005473DD" w:rsidRPr="000E1D99" w:rsidRDefault="005473DD" w:rsidP="000E1D9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F7742B" w14:textId="1F4E6679" w:rsidR="000822E9" w:rsidRDefault="000822E9" w:rsidP="000E1D9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D99">
        <w:rPr>
          <w:rFonts w:ascii="Times New Roman" w:hAnsi="Times New Roman" w:cs="Times New Roman"/>
          <w:sz w:val="24"/>
          <w:szCs w:val="24"/>
        </w:rPr>
        <w:t>Przebieg postępowania sądowego przed sądem I instancji</w:t>
      </w:r>
    </w:p>
    <w:p w14:paraId="49BC1A5C" w14:textId="77777777" w:rsidR="000E1D99" w:rsidRPr="000E1D99" w:rsidRDefault="000E1D99" w:rsidP="000E1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C189AF" w14:textId="589D16AD" w:rsidR="005473DD" w:rsidRDefault="000822E9" w:rsidP="000E1D9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D99">
        <w:rPr>
          <w:rFonts w:ascii="Times New Roman" w:hAnsi="Times New Roman" w:cs="Times New Roman"/>
          <w:sz w:val="24"/>
          <w:szCs w:val="24"/>
        </w:rPr>
        <w:t>Wyrok sądu I instancji</w:t>
      </w:r>
    </w:p>
    <w:p w14:paraId="6FDB732C" w14:textId="77777777" w:rsidR="000E1D99" w:rsidRPr="000E1D99" w:rsidRDefault="000E1D99" w:rsidP="000E1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20D7D3" w14:textId="0612F809" w:rsidR="000822E9" w:rsidRDefault="000822E9" w:rsidP="000E1D99">
      <w:pPr>
        <w:pStyle w:val="Akapitzlist"/>
        <w:numPr>
          <w:ilvl w:val="0"/>
          <w:numId w:val="1"/>
        </w:num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D99">
        <w:rPr>
          <w:rFonts w:ascii="Times New Roman" w:hAnsi="Times New Roman" w:cs="Times New Roman"/>
          <w:sz w:val="24"/>
          <w:szCs w:val="24"/>
        </w:rPr>
        <w:t>Zasady zaskarżenia wyroku sądu I instancji</w:t>
      </w:r>
    </w:p>
    <w:p w14:paraId="729D8705" w14:textId="77777777" w:rsidR="000E1D99" w:rsidRPr="000E1D99" w:rsidRDefault="000E1D99" w:rsidP="000E1D99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47B1FC" w14:textId="4721D518" w:rsidR="005473DD" w:rsidRDefault="000822E9" w:rsidP="000E1D9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D99">
        <w:rPr>
          <w:rFonts w:ascii="Times New Roman" w:hAnsi="Times New Roman" w:cs="Times New Roman"/>
          <w:sz w:val="24"/>
          <w:szCs w:val="24"/>
        </w:rPr>
        <w:t>Postępowanie odwoławcze</w:t>
      </w:r>
    </w:p>
    <w:p w14:paraId="681E97D9" w14:textId="77777777" w:rsidR="000E1D99" w:rsidRPr="000E1D99" w:rsidRDefault="000E1D99" w:rsidP="000E1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14E500" w14:textId="43379182" w:rsidR="000822E9" w:rsidRDefault="000822E9" w:rsidP="000E1D9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D99">
        <w:rPr>
          <w:rFonts w:ascii="Times New Roman" w:hAnsi="Times New Roman" w:cs="Times New Roman"/>
          <w:sz w:val="24"/>
          <w:szCs w:val="24"/>
        </w:rPr>
        <w:t>Nadzwyczajne środki zaskarżenia - kasacja i wznowienie postępowania</w:t>
      </w:r>
    </w:p>
    <w:p w14:paraId="4658484F" w14:textId="77777777" w:rsidR="000E1D99" w:rsidRPr="000E1D99" w:rsidRDefault="000E1D99" w:rsidP="000E1D9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997244C" w14:textId="5DF515CB" w:rsidR="000E1D99" w:rsidRPr="000E1D99" w:rsidRDefault="000E1D99" w:rsidP="000E1D9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Podsumowanie węzłowych zagadnień procesu karnego</w:t>
      </w:r>
    </w:p>
    <w:p w14:paraId="78F250E8" w14:textId="77777777" w:rsidR="000822E9" w:rsidRPr="000E1D99" w:rsidRDefault="000822E9" w:rsidP="003F2D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335750" w14:textId="77777777" w:rsidR="00877D7B" w:rsidRDefault="00877D7B" w:rsidP="000E1D9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740433" w14:textId="5AAC9F29" w:rsidR="000E1D99" w:rsidRDefault="000E1D99" w:rsidP="000E1D9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zaliczenia:</w:t>
      </w:r>
    </w:p>
    <w:p w14:paraId="0AAE6CEF" w14:textId="77777777" w:rsidR="000E1D99" w:rsidRDefault="000E1D99" w:rsidP="000E1D9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9FBC7F" w14:textId="77777777" w:rsidR="000E1D99" w:rsidRDefault="000E1D99" w:rsidP="000E1D9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1D99">
        <w:rPr>
          <w:rFonts w:ascii="Times New Roman" w:hAnsi="Times New Roman" w:cs="Times New Roman"/>
          <w:b/>
          <w:bCs/>
          <w:sz w:val="24"/>
          <w:szCs w:val="24"/>
        </w:rPr>
        <w:t>Egzamin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6D51163" w14:textId="4D7B61D9" w:rsidR="000E1D99" w:rsidRPr="000E1D99" w:rsidRDefault="000E1D99" w:rsidP="000E1D9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Egzamin</w:t>
      </w:r>
      <w:r w:rsidRPr="000E1D99">
        <w:rPr>
          <w:rFonts w:ascii="Times New Roman" w:hAnsi="Times New Roman" w:cs="Times New Roman"/>
          <w:b/>
          <w:bCs/>
          <w:sz w:val="24"/>
          <w:szCs w:val="24"/>
        </w:rPr>
        <w:t xml:space="preserve"> w formie testowej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który odbędzie się </w:t>
      </w:r>
      <w:r w:rsidRPr="000E1D99">
        <w:rPr>
          <w:rFonts w:ascii="Times New Roman" w:hAnsi="Times New Roman" w:cs="Times New Roman"/>
          <w:b/>
          <w:bCs/>
          <w:sz w:val="24"/>
          <w:szCs w:val="24"/>
        </w:rPr>
        <w:t>w semestrze zimowym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Forma: </w:t>
      </w:r>
      <w:r w:rsidRPr="000E1D99">
        <w:rPr>
          <w:rFonts w:ascii="Times New Roman" w:hAnsi="Times New Roman" w:cs="Times New Roman"/>
          <w:b/>
          <w:bCs/>
          <w:sz w:val="24"/>
          <w:szCs w:val="24"/>
        </w:rPr>
        <w:t>30 pytań jednokrotnego wyboru z tematyki poruszanej na wykładach i ćwiczeniach z obu semestrów.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Konieczne jest opanowanie materii obejmującej nie tylko treść prezentacji publikowanych przez wykładowcę, ale także zapoznanie się z odpowiednimi przepisami Kodeksu postępowania karnego i innych ustaw oraz treści podręcznika, który na pierwszym wykładzie wskazany został jako wiodący (</w:t>
      </w:r>
      <w:r w:rsidRPr="000E1D99">
        <w:rPr>
          <w:rFonts w:ascii="Times New Roman" w:hAnsi="Times New Roman" w:cs="Times New Roman"/>
          <w:b/>
          <w:bCs/>
          <w:sz w:val="24"/>
          <w:szCs w:val="24"/>
        </w:rPr>
        <w:t xml:space="preserve">J. Skorupka (red.), </w:t>
      </w:r>
      <w:r w:rsidRPr="000E1D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Proces </w:t>
      </w:r>
      <w:r w:rsidRPr="000E1D99">
        <w:rPr>
          <w:rFonts w:ascii="Times New Roman" w:hAnsi="Times New Roman" w:cs="Times New Roman"/>
          <w:b/>
          <w:bCs/>
          <w:sz w:val="24"/>
          <w:szCs w:val="24"/>
        </w:rPr>
        <w:t>karny, Warszawa 2022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0E1D9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6D0572E" w14:textId="77777777" w:rsidR="000E1D99" w:rsidRDefault="000E1D99" w:rsidP="000E1D9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165A7" w14:textId="77777777" w:rsidR="000E1D99" w:rsidRDefault="000E1D99" w:rsidP="000E1D99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3FA">
        <w:rPr>
          <w:rFonts w:ascii="Times New Roman" w:hAnsi="Times New Roman" w:cs="Times New Roman"/>
          <w:b/>
          <w:sz w:val="24"/>
          <w:szCs w:val="24"/>
        </w:rPr>
        <w:t>Konsultacje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85970D" w14:textId="77777777" w:rsidR="000E1D99" w:rsidRDefault="000E1D99" w:rsidP="000E1D9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Konsultacje w roku akademickim 2023/2024 odbywają się w terminach umieszczonych na wydziałowej stronie osobistej poprzez MS </w:t>
      </w:r>
      <w:proofErr w:type="spellStart"/>
      <w:r>
        <w:rPr>
          <w:rFonts w:ascii="Times New Roman" w:hAnsi="Times New Roman" w:cs="Times New Roman"/>
          <w:sz w:val="24"/>
          <w:szCs w:val="24"/>
        </w:rPr>
        <w:t>Teams</w:t>
      </w:r>
      <w:proofErr w:type="spellEnd"/>
      <w:r>
        <w:rPr>
          <w:rFonts w:ascii="Times New Roman" w:hAnsi="Times New Roman" w:cs="Times New Roman"/>
          <w:sz w:val="24"/>
          <w:szCs w:val="24"/>
        </w:rPr>
        <w:t>. O ewentualnych zmianach godzin i terminów konsultacji prowadzący każdorazowo będzie informował poprzez ogłoszenie umieszczone na stronie wydziałowej.</w:t>
      </w:r>
    </w:p>
    <w:p w14:paraId="0E00B055" w14:textId="087F422A" w:rsidR="000E1D99" w:rsidRDefault="000E1D99" w:rsidP="000E1D9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każdej sprawie związanej z zajęciami z prowadzącym można kontaktować się pod następującym adresem e-mail: </w:t>
      </w:r>
      <w:hyperlink r:id="rId5" w:history="1">
        <w:r w:rsidRPr="00AA535A">
          <w:rPr>
            <w:rStyle w:val="Hipercze"/>
            <w:rFonts w:ascii="Times New Roman" w:hAnsi="Times New Roman" w:cs="Times New Roman"/>
            <w:sz w:val="24"/>
            <w:szCs w:val="24"/>
          </w:rPr>
          <w:t>karol.jarzabek</w:t>
        </w:r>
        <w:r w:rsidRPr="00AA535A">
          <w:rPr>
            <w:rStyle w:val="Hipercze"/>
            <w:rFonts w:ascii="Times New Roman" w:hAnsi="Times New Roman" w:cs="Times New Roman"/>
            <w:sz w:val="24"/>
            <w:szCs w:val="24"/>
          </w:rPr>
          <w:t>2</w:t>
        </w:r>
        <w:r w:rsidRPr="00AA535A">
          <w:rPr>
            <w:rStyle w:val="Hipercze"/>
            <w:rFonts w:ascii="Times New Roman" w:hAnsi="Times New Roman" w:cs="Times New Roman"/>
            <w:sz w:val="24"/>
            <w:szCs w:val="24"/>
          </w:rPr>
          <w:t>@uwr.edu.pl</w:t>
        </w:r>
      </w:hyperlink>
    </w:p>
    <w:p w14:paraId="4B7961DA" w14:textId="77777777" w:rsidR="000E1D99" w:rsidRDefault="000E1D99" w:rsidP="000E1D9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AABD226" w14:textId="77777777" w:rsidR="000E1D99" w:rsidRPr="006D42C9" w:rsidRDefault="000E1D99" w:rsidP="000E1D99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sprawy nieuregulowane w niniejszym zbiorze zasad będą na bieżąco wyjaśniane i rozstrzygane przez prowadzącego.</w:t>
      </w:r>
    </w:p>
    <w:p w14:paraId="666798E5" w14:textId="77777777" w:rsidR="000E1D99" w:rsidRPr="000E1D99" w:rsidRDefault="000E1D99" w:rsidP="000E1D9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896C74" w14:textId="77777777" w:rsidR="000E1D99" w:rsidRPr="000E1D99" w:rsidRDefault="000E1D99" w:rsidP="000E1D9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E1D99" w:rsidRPr="000E1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116C7"/>
    <w:multiLevelType w:val="hybridMultilevel"/>
    <w:tmpl w:val="F2E6F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A46A5"/>
    <w:multiLevelType w:val="hybridMultilevel"/>
    <w:tmpl w:val="B92C4F50"/>
    <w:lvl w:ilvl="0" w:tplc="ABEAB0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73E9F"/>
    <w:multiLevelType w:val="hybridMultilevel"/>
    <w:tmpl w:val="1450B434"/>
    <w:lvl w:ilvl="0" w:tplc="AA225B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78E2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06AE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72ED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DE26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448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06C1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16E2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8623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87ECE"/>
    <w:multiLevelType w:val="hybridMultilevel"/>
    <w:tmpl w:val="EF6CACBE"/>
    <w:lvl w:ilvl="0" w:tplc="AB3E0B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55602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11C899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A12C03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1669F6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B66B76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D2470F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D3060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716E35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B36850"/>
    <w:multiLevelType w:val="hybridMultilevel"/>
    <w:tmpl w:val="C04CDC20"/>
    <w:lvl w:ilvl="0" w:tplc="639A6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D2A82"/>
    <w:multiLevelType w:val="hybridMultilevel"/>
    <w:tmpl w:val="F6B8B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038740">
    <w:abstractNumId w:val="0"/>
  </w:num>
  <w:num w:numId="2" w16cid:durableId="1270041120">
    <w:abstractNumId w:val="5"/>
  </w:num>
  <w:num w:numId="3" w16cid:durableId="1477988299">
    <w:abstractNumId w:val="1"/>
  </w:num>
  <w:num w:numId="4" w16cid:durableId="1209150333">
    <w:abstractNumId w:val="2"/>
  </w:num>
  <w:num w:numId="5" w16cid:durableId="149448043">
    <w:abstractNumId w:val="4"/>
  </w:num>
  <w:num w:numId="6" w16cid:durableId="1723215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E9"/>
    <w:rsid w:val="000822E9"/>
    <w:rsid w:val="000E1D99"/>
    <w:rsid w:val="003460C8"/>
    <w:rsid w:val="003F2D0A"/>
    <w:rsid w:val="0048466D"/>
    <w:rsid w:val="004B52EA"/>
    <w:rsid w:val="005473DD"/>
    <w:rsid w:val="007E3366"/>
    <w:rsid w:val="00877D7B"/>
    <w:rsid w:val="009B63B2"/>
    <w:rsid w:val="00A00CFB"/>
    <w:rsid w:val="00A73AEC"/>
    <w:rsid w:val="00C22698"/>
    <w:rsid w:val="00E7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D3578"/>
  <w15:chartTrackingRefBased/>
  <w15:docId w15:val="{C81C8325-D369-4EFE-B417-01EC4FC6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2E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E1D9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1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2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64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2403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ol.jarzabek2@uwr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Leżak</dc:creator>
  <cp:keywords/>
  <dc:description/>
  <cp:lastModifiedBy>Karol Jarząbek</cp:lastModifiedBy>
  <cp:revision>4</cp:revision>
  <dcterms:created xsi:type="dcterms:W3CDTF">2024-03-28T20:07:00Z</dcterms:created>
  <dcterms:modified xsi:type="dcterms:W3CDTF">2024-03-28T20:08:00Z</dcterms:modified>
</cp:coreProperties>
</file>