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F7BFE" w14:textId="77777777" w:rsidR="007A4922" w:rsidRDefault="007A4922" w:rsidP="3D61BA4A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5DF3FF46" w14:textId="4EF67123" w:rsidR="06FF3DAF" w:rsidRPr="007A4922" w:rsidRDefault="007A4922" w:rsidP="007A49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1:</w:t>
      </w:r>
      <w:r w:rsidRPr="002928C2">
        <w:rPr>
          <w:rFonts w:ascii="Times New Roman" w:hAnsi="Times New Roman"/>
          <w:sz w:val="24"/>
          <w:szCs w:val="24"/>
        </w:rPr>
        <w:t xml:space="preserve"> Wykaz zagadnień egzaminacyjnych z Prawa </w:t>
      </w:r>
      <w:r>
        <w:rPr>
          <w:rFonts w:ascii="Times New Roman" w:hAnsi="Times New Roman"/>
          <w:sz w:val="24"/>
          <w:szCs w:val="24"/>
        </w:rPr>
        <w:t xml:space="preserve">karnego </w:t>
      </w:r>
      <w:r w:rsidRPr="002928C2">
        <w:rPr>
          <w:rFonts w:ascii="Times New Roman" w:hAnsi="Times New Roman"/>
          <w:sz w:val="24"/>
          <w:szCs w:val="24"/>
        </w:rPr>
        <w:t>w roku akademickim 2023/2024</w:t>
      </w:r>
      <w:r>
        <w:rPr>
          <w:rFonts w:ascii="Times New Roman" w:hAnsi="Times New Roman"/>
          <w:sz w:val="24"/>
          <w:szCs w:val="24"/>
        </w:rPr>
        <w:t xml:space="preserve"> dla kierunku Prawo, Studia Stacjonarne, rok II</w:t>
      </w:r>
      <w:r w:rsidRPr="002928C2">
        <w:rPr>
          <w:rFonts w:ascii="Times New Roman" w:hAnsi="Times New Roman"/>
          <w:sz w:val="24"/>
          <w:szCs w:val="24"/>
        </w:rPr>
        <w:t>.</w:t>
      </w:r>
    </w:p>
    <w:p w14:paraId="7F22711A" w14:textId="48757E40" w:rsidR="06FF3DAF" w:rsidRDefault="06FF3DAF">
      <w:r>
        <w:br/>
      </w:r>
    </w:p>
    <w:p w14:paraId="32B6FD83" w14:textId="0F2DFE85" w:rsidR="06FF3DAF" w:rsidRPr="007A4922" w:rsidRDefault="007A4922" w:rsidP="3D61BA4A">
      <w:pPr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7A4922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>LISTA ZAGADNIEŃ</w:t>
      </w:r>
    </w:p>
    <w:p w14:paraId="7289E372" w14:textId="77777777" w:rsidR="007A4922" w:rsidRDefault="007A4922" w:rsidP="3D61BA4A">
      <w:pPr>
        <w:jc w:val="center"/>
      </w:pPr>
    </w:p>
    <w:p w14:paraId="7DADF8E2" w14:textId="617AFD78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Pojęcie prawa karnego</w:t>
      </w:r>
    </w:p>
    <w:p w14:paraId="625B3DFD" w14:textId="27D7C3E6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Funkcje prawa karnego </w:t>
      </w:r>
    </w:p>
    <w:p w14:paraId="33950500" w14:textId="3361714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Zasady prawa karnego </w:t>
      </w:r>
    </w:p>
    <w:p w14:paraId="5F432592" w14:textId="4EEA2A9D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Ogólna charakterystyka Kodeksu karnego jako głównego źródła polskiego prawa karnego</w:t>
      </w:r>
    </w:p>
    <w:p w14:paraId="26D3B391" w14:textId="3217F8A1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Wykładnia przepisów prawa karnego </w:t>
      </w:r>
    </w:p>
    <w:p w14:paraId="44EC40DB" w14:textId="3ADE05FC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Czas popełnienia przestępstwa </w:t>
      </w:r>
    </w:p>
    <w:p w14:paraId="25DF8A67" w14:textId="71E6356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Prawo intertemporalne </w:t>
      </w:r>
    </w:p>
    <w:p w14:paraId="767B5484" w14:textId="1E51ACD3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Miejsce popełnienia przestępstwa </w:t>
      </w:r>
    </w:p>
    <w:p w14:paraId="58DF9C16" w14:textId="6645A321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Zasada terytorialności </w:t>
      </w:r>
    </w:p>
    <w:p w14:paraId="4A6CAD0A" w14:textId="7623BFA5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Zasada personalna (obywatelstwa) </w:t>
      </w:r>
    </w:p>
    <w:p w14:paraId="5C894965" w14:textId="60168BA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Zasada ochronna względna  </w:t>
      </w:r>
    </w:p>
    <w:p w14:paraId="31AE006C" w14:textId="4CE357DB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Zasada ochronna bezwzględna</w:t>
      </w:r>
    </w:p>
    <w:p w14:paraId="3CB11368" w14:textId="224758BA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Zasada odpowiedzialności zastępczej </w:t>
      </w:r>
    </w:p>
    <w:p w14:paraId="00D62FEF" w14:textId="06A2E665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Zasada represji wszechświatowej </w:t>
      </w:r>
    </w:p>
    <w:p w14:paraId="38E15C37" w14:textId="3090B2FF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Pojęcie i struktura przestępstwa </w:t>
      </w:r>
    </w:p>
    <w:p w14:paraId="0352121A" w14:textId="535DB89D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Podziały przestępstw</w:t>
      </w:r>
    </w:p>
    <w:p w14:paraId="21ACD22C" w14:textId="6A0E7BE3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Przestępstwa formalne i materialne</w:t>
      </w:r>
    </w:p>
    <w:p w14:paraId="5AE5A384" w14:textId="5500380D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Przestępstwa powszechne i indywidualne</w:t>
      </w:r>
    </w:p>
    <w:p w14:paraId="0BA4304C" w14:textId="1DE969AE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Przestępstwa z działania i z zaniechania</w:t>
      </w:r>
    </w:p>
    <w:p w14:paraId="4009B015" w14:textId="42E205A2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Przestępstwa z naruszenia i narażenia na niebezpieczeństwo</w:t>
      </w:r>
    </w:p>
    <w:p w14:paraId="31F3108E" w14:textId="26653A66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Typy podstawowe i zmodyfikowane przestępstw</w:t>
      </w:r>
    </w:p>
    <w:p w14:paraId="1B01983A" w14:textId="53D26756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Ujęcia (koncepcje) czynu</w:t>
      </w:r>
    </w:p>
    <w:p w14:paraId="5FED9CFA" w14:textId="6EF686AD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Odpowiedzialność za zaniechanie </w:t>
      </w:r>
    </w:p>
    <w:p w14:paraId="4586441B" w14:textId="46281C0F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Czyn zabroniony </w:t>
      </w:r>
    </w:p>
    <w:p w14:paraId="43211CA2" w14:textId="74E43DC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Czyn bezprawny </w:t>
      </w:r>
    </w:p>
    <w:p w14:paraId="5602E28A" w14:textId="0445950C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Społeczna szkodliwość czynu</w:t>
      </w:r>
    </w:p>
    <w:p w14:paraId="1C851400" w14:textId="091D2BEB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Dobro prawne i jego ochrona przez prawo karne</w:t>
      </w:r>
    </w:p>
    <w:p w14:paraId="545C2D0F" w14:textId="462816AE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Czyn zawiniony</w:t>
      </w:r>
    </w:p>
    <w:p w14:paraId="3DFA1896" w14:textId="7B8F0808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Podmiot czynu zabronionego pod groźbą kary </w:t>
      </w:r>
    </w:p>
    <w:p w14:paraId="7B5C7265" w14:textId="0FE0BD25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Odpowiedzialność nieletnich</w:t>
      </w:r>
    </w:p>
    <w:p w14:paraId="0D5E75E6" w14:textId="329A67A5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Zespół znamion typu czynu zabronionego i jego funkcje</w:t>
      </w:r>
    </w:p>
    <w:p w14:paraId="4FC3BBAE" w14:textId="63C009F6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Podziały znamion </w:t>
      </w:r>
    </w:p>
    <w:p w14:paraId="7C23336F" w14:textId="24A3A942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Strona przedmiotowa czynu zabronionego pod groźbą kary </w:t>
      </w:r>
    </w:p>
    <w:p w14:paraId="02DDC108" w14:textId="6C2708EA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Koncepcje związku przyczynowego</w:t>
      </w:r>
    </w:p>
    <w:p w14:paraId="6651F51D" w14:textId="5A247E16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Obiektywne przypisanie odpowiedzialności karnej</w:t>
      </w:r>
    </w:p>
    <w:p w14:paraId="0D7EDE72" w14:textId="6CF6029A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Strona podmiotowa czynu zabronionego pod groźbą kary </w:t>
      </w:r>
    </w:p>
    <w:p w14:paraId="06C06893" w14:textId="55D75F70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lastRenderedPageBreak/>
        <w:t>Formy współdziałania przestępnego</w:t>
      </w:r>
    </w:p>
    <w:p w14:paraId="56F4543B" w14:textId="31D9D917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Współsprawstwo </w:t>
      </w:r>
    </w:p>
    <w:p w14:paraId="5B56C2BC" w14:textId="03EA2A2C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Sprawstwo kierownicze </w:t>
      </w:r>
    </w:p>
    <w:p w14:paraId="5D2BAE07" w14:textId="3BD0E70C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Sprawstwo polecające </w:t>
      </w:r>
    </w:p>
    <w:p w14:paraId="5543C08A" w14:textId="2EA5D39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Podżeganie </w:t>
      </w:r>
    </w:p>
    <w:p w14:paraId="7D17048E" w14:textId="46B8AF30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Pomocnictwo</w:t>
      </w:r>
    </w:p>
    <w:p w14:paraId="7158647D" w14:textId="4219D0C3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Formy stadialne czynu zabronionego pod groźbą kary </w:t>
      </w:r>
    </w:p>
    <w:p w14:paraId="5A111C99" w14:textId="131B1E38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Usiłowanie </w:t>
      </w:r>
    </w:p>
    <w:p w14:paraId="54681A08" w14:textId="43DB758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Usiłowanie nieudolne </w:t>
      </w:r>
    </w:p>
    <w:p w14:paraId="2FEC502B" w14:textId="5EF8FB02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Przygotowanie do przestępstwa </w:t>
      </w:r>
    </w:p>
    <w:p w14:paraId="64991007" w14:textId="3B5348ED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Pojęcie okoliczności uniemożliwiającej przyjęcie bezprawności zachowania się człowieka </w:t>
      </w:r>
    </w:p>
    <w:p w14:paraId="05AD8B67" w14:textId="0373A6B0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Obrona konieczna i przekroczenie jej granic </w:t>
      </w:r>
    </w:p>
    <w:p w14:paraId="1F5DAA79" w14:textId="2E46EFE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Stan wyższej konieczności i przekroczenie jego granic </w:t>
      </w:r>
    </w:p>
    <w:p w14:paraId="62610AF6" w14:textId="5A8F98E3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Tak zwana kolizja obowiązków </w:t>
      </w:r>
    </w:p>
    <w:p w14:paraId="20A36693" w14:textId="122E6378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Ryzyko nowatorstwa </w:t>
      </w:r>
    </w:p>
    <w:p w14:paraId="6D059878" w14:textId="60B66922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Działanie w granicach uprawnień i obowiązków </w:t>
      </w:r>
    </w:p>
    <w:p w14:paraId="5651B602" w14:textId="723118E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Zgoda dysponenta dobrem </w:t>
      </w:r>
    </w:p>
    <w:p w14:paraId="60A99683" w14:textId="513ED00C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Teorie winy </w:t>
      </w:r>
    </w:p>
    <w:p w14:paraId="3F0AB2F1" w14:textId="7A8CADF8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Niepoczytalność i poczytalność zmniejszona</w:t>
      </w:r>
    </w:p>
    <w:p w14:paraId="256191D6" w14:textId="1F6F8FB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Zawinienie na przedpolu czynu zabronionego a art. 31 § 3  KK</w:t>
      </w:r>
    </w:p>
    <w:p w14:paraId="2C343977" w14:textId="154C054A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Błąd co do okoliczności stanowiącej znamię czynu zabronionego pod groźbą kary </w:t>
      </w:r>
    </w:p>
    <w:p w14:paraId="0C5EC602" w14:textId="7CCC641F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Błąd co do okoliczności wyłączającej bezprawność i co do okoliczności wyłączającej winę </w:t>
      </w:r>
    </w:p>
    <w:p w14:paraId="3140D955" w14:textId="0C77B6AB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Błąd co do bezprawności  </w:t>
      </w:r>
    </w:p>
    <w:p w14:paraId="39222478" w14:textId="1A4BE8F8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Zbieg przepisów ustawy </w:t>
      </w:r>
    </w:p>
    <w:p w14:paraId="47B1F874" w14:textId="060F821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Reguły wyłączania wielości ocen</w:t>
      </w:r>
    </w:p>
    <w:p w14:paraId="6D8BC738" w14:textId="0D49B7BF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Zbieg przestępstw</w:t>
      </w:r>
    </w:p>
    <w:p w14:paraId="3871BCA3" w14:textId="272BC8D9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Tzw. realny zbieg przestępstw i kara łączna</w:t>
      </w:r>
    </w:p>
    <w:p w14:paraId="1C46F0FA" w14:textId="4818DCC6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Czyn ciągły </w:t>
      </w:r>
    </w:p>
    <w:p w14:paraId="41BC5307" w14:textId="594A3CEE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Ciąg przestępstw </w:t>
      </w:r>
    </w:p>
    <w:p w14:paraId="4D7D56EF" w14:textId="11A6C0CA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Przestępstwa wieloczynowe, wieloodmianowe, złożone, trwałe</w:t>
      </w:r>
    </w:p>
    <w:p w14:paraId="3F9F7F9D" w14:textId="684D8BB1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Istota kary kryminalnej, jej cele i funkcje </w:t>
      </w:r>
    </w:p>
    <w:p w14:paraId="380F2799" w14:textId="41BE302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Racjonalizacja kary</w:t>
      </w:r>
    </w:p>
    <w:p w14:paraId="0B0AD8F0" w14:textId="653D0D90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Rodzaje kar i ich charakterystyka </w:t>
      </w:r>
    </w:p>
    <w:p w14:paraId="167EC8A9" w14:textId="0C5DFD71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Grzywna: treść, zasady wymiaru </w:t>
      </w:r>
    </w:p>
    <w:p w14:paraId="6BB00BD7" w14:textId="52A5CDF6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Kara ograniczenia wolności: treść, zasady wymiaru </w:t>
      </w:r>
    </w:p>
    <w:p w14:paraId="2791E5CD" w14:textId="6D26FEEC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Kara pozbawienia wolności: treść, zasady wymiaru </w:t>
      </w:r>
    </w:p>
    <w:p w14:paraId="041903E6" w14:textId="5B0CCB0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Rodzaje środków karnych i ich charakterystyka</w:t>
      </w:r>
    </w:p>
    <w:p w14:paraId="76F4E579" w14:textId="62910A72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Przepadek</w:t>
      </w:r>
    </w:p>
    <w:p w14:paraId="32EFF31D" w14:textId="547461BC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Środki kompensacyjne </w:t>
      </w:r>
    </w:p>
    <w:p w14:paraId="737B9599" w14:textId="2164868D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Warunkowe umorzenie postępowania karnego </w:t>
      </w:r>
    </w:p>
    <w:p w14:paraId="09F711B2" w14:textId="37AFBE60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Warunkowe zawieszenie wykonania kary </w:t>
      </w:r>
    </w:p>
    <w:p w14:paraId="03C17565" w14:textId="7D8B1072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Warunkowe przedterminowe zwolnienie z odbycia reszty kary </w:t>
      </w:r>
    </w:p>
    <w:p w14:paraId="6D629B21" w14:textId="2E7EEEA4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Zasady i dyrektywy wymiaru kary </w:t>
      </w:r>
    </w:p>
    <w:p w14:paraId="330867C0" w14:textId="6BE8CC1C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>Nadzwyczajne obostrzenie kary</w:t>
      </w:r>
    </w:p>
    <w:p w14:paraId="536CF220" w14:textId="1048640E" w:rsidR="06FF3DAF" w:rsidRDefault="007A4922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Recydywa specjalna i jej rodzaje</w:t>
      </w:r>
      <w:bookmarkStart w:id="0" w:name="_GoBack"/>
      <w:bookmarkEnd w:id="0"/>
    </w:p>
    <w:p w14:paraId="3F29F2C5" w14:textId="3FD7FCB3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Nadzwyczajne złagodzenie kary </w:t>
      </w:r>
    </w:p>
    <w:p w14:paraId="5A946B5C" w14:textId="176A6DA9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lastRenderedPageBreak/>
        <w:t>Tzw. „mały świadek koronny”</w:t>
      </w:r>
    </w:p>
    <w:p w14:paraId="0A8ABE66" w14:textId="7F416652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Środki zabezpieczające </w:t>
      </w:r>
    </w:p>
    <w:p w14:paraId="46C7DA4F" w14:textId="372405B2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Przedawnienie </w:t>
      </w:r>
    </w:p>
    <w:p w14:paraId="696A05D8" w14:textId="1737BDB5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Zatarcie skazania </w:t>
      </w:r>
    </w:p>
    <w:p w14:paraId="7753862B" w14:textId="6F6933A0" w:rsidR="06FF3DAF" w:rsidRDefault="06FF3DAF" w:rsidP="3D61BA4A">
      <w:pPr>
        <w:pStyle w:val="Akapitzlist"/>
        <w:numPr>
          <w:ilvl w:val="0"/>
          <w:numId w:val="1"/>
        </w:numPr>
        <w:rPr>
          <w:rFonts w:eastAsiaTheme="minorEastAsia"/>
        </w:rPr>
      </w:pPr>
      <w:r w:rsidRPr="3D61BA4A">
        <w:rPr>
          <w:rFonts w:ascii="Calibri" w:eastAsia="Calibri" w:hAnsi="Calibri" w:cs="Calibri"/>
        </w:rPr>
        <w:t xml:space="preserve">Abolicja i amnestia </w:t>
      </w:r>
    </w:p>
    <w:p w14:paraId="66471CC7" w14:textId="0DA98233" w:rsidR="3D61BA4A" w:rsidRDefault="3D61BA4A" w:rsidP="3D61BA4A">
      <w:pPr>
        <w:spacing w:line="276" w:lineRule="auto"/>
        <w:rPr>
          <w:rFonts w:ascii="Calibri" w:eastAsia="Calibri" w:hAnsi="Calibri" w:cs="Calibri"/>
        </w:rPr>
      </w:pPr>
    </w:p>
    <w:p w14:paraId="5B60316A" w14:textId="2E79062C" w:rsidR="3D61BA4A" w:rsidRDefault="3D61BA4A" w:rsidP="3D61BA4A"/>
    <w:sectPr w:rsidR="3D61B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4C36"/>
    <w:multiLevelType w:val="hybridMultilevel"/>
    <w:tmpl w:val="00C6EA1E"/>
    <w:lvl w:ilvl="0" w:tplc="0A6E8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27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28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2E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83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4D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04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A5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46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2E9E9"/>
    <w:rsid w:val="0000658A"/>
    <w:rsid w:val="007A4922"/>
    <w:rsid w:val="06FF3DAF"/>
    <w:rsid w:val="2C92E9E9"/>
    <w:rsid w:val="3D61BA4A"/>
    <w:rsid w:val="57F6D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6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FE0E6F259214F9466E5D3E3062AE7" ma:contentTypeVersion="2" ma:contentTypeDescription="Utwórz nowy dokument." ma:contentTypeScope="" ma:versionID="0c0ea09be81f91bece34414a53bcb29a">
  <xsd:schema xmlns:xsd="http://www.w3.org/2001/XMLSchema" xmlns:xs="http://www.w3.org/2001/XMLSchema" xmlns:p="http://schemas.microsoft.com/office/2006/metadata/properties" xmlns:ns2="32800e47-9de7-480a-8ef9-a27423c8a383" targetNamespace="http://schemas.microsoft.com/office/2006/metadata/properties" ma:root="true" ma:fieldsID="16d2a98ce5567b5d298b7af2a816fb5a" ns2:_="">
    <xsd:import namespace="32800e47-9de7-480a-8ef9-a27423c8a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0e47-9de7-480a-8ef9-a27423c8a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350DE-9D32-4BCE-AD53-F10720FB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E97A4-8FBF-4F19-9526-AE70F9245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B1501-DFF7-4DDB-AF43-3FE9318D3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0e47-9de7-480a-8ef9-a27423c8a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Gruszecka</dc:creator>
  <cp:lastModifiedBy>Dagmara</cp:lastModifiedBy>
  <cp:revision>2</cp:revision>
  <dcterms:created xsi:type="dcterms:W3CDTF">2024-04-29T11:26:00Z</dcterms:created>
  <dcterms:modified xsi:type="dcterms:W3CDTF">2024-04-29T11:26:00Z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0x010100E43FE0E6F259214F9466E5D3E3062AE7</vt:lpwstr>
  </property>
</Properties>
</file>