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48" w:rsidRDefault="00C32E70" w:rsidP="00BF244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ZAKRES ZAGADNIEŃ ZALICZENIOWYCH </w:t>
      </w:r>
      <w:r w:rsidR="00BF2448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2F7CA5" w:rsidRPr="000601EB" w:rsidRDefault="00BF2448" w:rsidP="00BF2448">
      <w:pPr>
        <w:rPr>
          <w:rFonts w:ascii="Arial" w:hAnsi="Arial" w:cs="Arial"/>
          <w:sz w:val="24"/>
          <w:szCs w:val="24"/>
        </w:rPr>
      </w:pPr>
      <w:r w:rsidRPr="000601EB">
        <w:rPr>
          <w:rFonts w:ascii="Arial" w:hAnsi="Arial" w:cs="Arial"/>
          <w:sz w:val="24"/>
          <w:szCs w:val="24"/>
        </w:rPr>
        <w:t>- Pojęcie źródeł prawa. System źródeł prawa powszechnie obowiązującego w Polsce.</w:t>
      </w:r>
    </w:p>
    <w:p w:rsidR="00BF2448" w:rsidRPr="000601EB" w:rsidRDefault="00BF2448" w:rsidP="00BF2448">
      <w:pPr>
        <w:rPr>
          <w:rFonts w:ascii="Arial" w:hAnsi="Arial" w:cs="Arial"/>
          <w:sz w:val="24"/>
          <w:szCs w:val="24"/>
        </w:rPr>
      </w:pPr>
      <w:r w:rsidRPr="000601EB">
        <w:rPr>
          <w:rFonts w:ascii="Arial" w:hAnsi="Arial" w:cs="Arial"/>
          <w:sz w:val="24"/>
          <w:szCs w:val="24"/>
        </w:rPr>
        <w:t>- Struktura systemu źródeł prawa podatkowego. Podatkowe prawo krajowe, unijne i międzynarodowe – ich przedmiot i zakres regulacji, cechy charakterystyczne.</w:t>
      </w:r>
    </w:p>
    <w:p w:rsidR="00BF2448" w:rsidRPr="000601EB" w:rsidRDefault="00BF2448" w:rsidP="00BF2448">
      <w:pPr>
        <w:rPr>
          <w:rFonts w:ascii="Arial" w:hAnsi="Arial" w:cs="Arial"/>
          <w:sz w:val="24"/>
          <w:szCs w:val="24"/>
        </w:rPr>
      </w:pPr>
      <w:r w:rsidRPr="000601EB">
        <w:rPr>
          <w:rFonts w:ascii="Arial" w:hAnsi="Arial" w:cs="Arial"/>
          <w:sz w:val="24"/>
          <w:szCs w:val="24"/>
        </w:rPr>
        <w:t>- Źródła krajowego prawa podatkowego. Cechy i procedura prawodawcza poszczególnych źródeł i ich znaczenie jako źródeł prawa podatkowego. Konstytucja RP, ustawa, rozporządzenie oraz akty prawa miejscowego jako źródła prawa podatkowego.</w:t>
      </w:r>
    </w:p>
    <w:p w:rsidR="00BF2448" w:rsidRPr="000601EB" w:rsidRDefault="00BF2448" w:rsidP="00BF2448">
      <w:pPr>
        <w:rPr>
          <w:rFonts w:ascii="Arial" w:hAnsi="Arial" w:cs="Arial"/>
          <w:sz w:val="24"/>
          <w:szCs w:val="24"/>
        </w:rPr>
      </w:pPr>
      <w:r w:rsidRPr="000601EB">
        <w:rPr>
          <w:rFonts w:ascii="Arial" w:hAnsi="Arial" w:cs="Arial"/>
          <w:sz w:val="24"/>
          <w:szCs w:val="24"/>
        </w:rPr>
        <w:t xml:space="preserve">- Źródła unijnego prawa podatkowego. </w:t>
      </w:r>
    </w:p>
    <w:p w:rsidR="00806B58" w:rsidRPr="000601EB" w:rsidRDefault="00806B58" w:rsidP="00806B58">
      <w:pPr>
        <w:rPr>
          <w:rFonts w:ascii="Arial" w:hAnsi="Arial" w:cs="Arial"/>
          <w:sz w:val="24"/>
          <w:szCs w:val="24"/>
        </w:rPr>
      </w:pPr>
      <w:r w:rsidRPr="000601EB">
        <w:rPr>
          <w:rFonts w:ascii="Arial" w:hAnsi="Arial" w:cs="Arial"/>
          <w:sz w:val="24"/>
          <w:szCs w:val="24"/>
        </w:rPr>
        <w:t>- Źródła międzynarodowego prawa podatkowego.</w:t>
      </w:r>
    </w:p>
    <w:p w:rsidR="00806B58" w:rsidRPr="000601EB" w:rsidRDefault="00806B58" w:rsidP="00806B58">
      <w:pPr>
        <w:rPr>
          <w:rFonts w:ascii="Arial" w:hAnsi="Arial" w:cs="Arial"/>
          <w:sz w:val="24"/>
          <w:szCs w:val="24"/>
        </w:rPr>
      </w:pPr>
      <w:r w:rsidRPr="000601EB">
        <w:rPr>
          <w:rFonts w:ascii="Arial" w:hAnsi="Arial" w:cs="Arial"/>
          <w:sz w:val="24"/>
          <w:szCs w:val="24"/>
        </w:rPr>
        <w:t xml:space="preserve">- Pojęcie i rodzaje wykładni prawa. Dyrektywy interpretacyjne I </w:t>
      </w:r>
      <w:proofErr w:type="spellStart"/>
      <w:r w:rsidRPr="000601EB">
        <w:rPr>
          <w:rFonts w:ascii="Arial" w:hAnsi="Arial" w:cs="Arial"/>
          <w:sz w:val="24"/>
          <w:szCs w:val="24"/>
        </w:rPr>
        <w:t>i</w:t>
      </w:r>
      <w:proofErr w:type="spellEnd"/>
      <w:r w:rsidRPr="000601EB">
        <w:rPr>
          <w:rFonts w:ascii="Arial" w:hAnsi="Arial" w:cs="Arial"/>
          <w:sz w:val="24"/>
          <w:szCs w:val="24"/>
        </w:rPr>
        <w:t xml:space="preserve"> II stopnia.</w:t>
      </w:r>
    </w:p>
    <w:p w:rsidR="00806B58" w:rsidRPr="000601EB" w:rsidRDefault="00806B58" w:rsidP="00806B58">
      <w:pPr>
        <w:rPr>
          <w:rFonts w:ascii="Arial" w:hAnsi="Arial" w:cs="Arial"/>
          <w:sz w:val="24"/>
          <w:szCs w:val="24"/>
        </w:rPr>
      </w:pPr>
      <w:r w:rsidRPr="000601EB">
        <w:rPr>
          <w:rFonts w:ascii="Arial" w:hAnsi="Arial" w:cs="Arial"/>
          <w:sz w:val="24"/>
          <w:szCs w:val="24"/>
        </w:rPr>
        <w:t>- Cechy prawa podatkowego wpływające na odrębności jego wykładni. Odrębności wykładni prawa podatkowego – ogólna charakterystyka.</w:t>
      </w:r>
    </w:p>
    <w:p w:rsidR="00806B58" w:rsidRPr="000601EB" w:rsidRDefault="000601EB" w:rsidP="000601EB">
      <w:pPr>
        <w:rPr>
          <w:rFonts w:ascii="Arial" w:hAnsi="Arial" w:cs="Arial"/>
          <w:sz w:val="24"/>
          <w:szCs w:val="24"/>
        </w:rPr>
      </w:pPr>
      <w:r w:rsidRPr="000601EB">
        <w:rPr>
          <w:rFonts w:ascii="Arial" w:hAnsi="Arial" w:cs="Arial"/>
          <w:sz w:val="24"/>
          <w:szCs w:val="24"/>
        </w:rPr>
        <w:t xml:space="preserve">- Wykładnia językowa prawa podatkowego. </w:t>
      </w:r>
    </w:p>
    <w:p w:rsidR="000601EB" w:rsidRPr="000601EB" w:rsidRDefault="000601EB" w:rsidP="000601EB">
      <w:pPr>
        <w:rPr>
          <w:rFonts w:ascii="Arial" w:hAnsi="Arial" w:cs="Arial"/>
          <w:sz w:val="24"/>
          <w:szCs w:val="24"/>
        </w:rPr>
      </w:pPr>
      <w:r w:rsidRPr="000601EB">
        <w:rPr>
          <w:rFonts w:ascii="Arial" w:hAnsi="Arial" w:cs="Arial"/>
          <w:sz w:val="24"/>
          <w:szCs w:val="24"/>
        </w:rPr>
        <w:t xml:space="preserve">- Wykładnia systemowa prawa podatkowego. </w:t>
      </w:r>
    </w:p>
    <w:p w:rsidR="000601EB" w:rsidRPr="000601EB" w:rsidRDefault="000601EB" w:rsidP="000601EB">
      <w:pPr>
        <w:rPr>
          <w:rFonts w:ascii="Arial" w:hAnsi="Arial" w:cs="Arial"/>
          <w:sz w:val="24"/>
          <w:szCs w:val="24"/>
        </w:rPr>
      </w:pPr>
      <w:r w:rsidRPr="000601EB">
        <w:rPr>
          <w:rFonts w:ascii="Arial" w:hAnsi="Arial" w:cs="Arial"/>
          <w:sz w:val="24"/>
          <w:szCs w:val="24"/>
        </w:rPr>
        <w:t xml:space="preserve">- Wykładnia celowościowa prawa podatkowego. </w:t>
      </w:r>
    </w:p>
    <w:p w:rsidR="000601EB" w:rsidRDefault="000601EB" w:rsidP="000601EB">
      <w:pPr>
        <w:rPr>
          <w:rFonts w:ascii="Arial" w:hAnsi="Arial" w:cs="Arial"/>
          <w:sz w:val="24"/>
          <w:szCs w:val="24"/>
        </w:rPr>
      </w:pPr>
      <w:r w:rsidRPr="000601EB">
        <w:rPr>
          <w:rFonts w:ascii="Arial" w:hAnsi="Arial" w:cs="Arial"/>
          <w:sz w:val="24"/>
          <w:szCs w:val="24"/>
        </w:rPr>
        <w:t>- Rola orzecznictwa WSA, NSA, TK i TSUE w procesie stosowania prawa podatkowego.</w:t>
      </w:r>
    </w:p>
    <w:p w:rsidR="00701954" w:rsidRDefault="00701954" w:rsidP="000601EB">
      <w:pPr>
        <w:rPr>
          <w:rFonts w:ascii="Arial" w:hAnsi="Arial" w:cs="Arial"/>
          <w:sz w:val="24"/>
          <w:szCs w:val="24"/>
        </w:rPr>
      </w:pPr>
    </w:p>
    <w:p w:rsidR="000601EB" w:rsidRPr="00C32E70" w:rsidRDefault="000601EB" w:rsidP="000601EB">
      <w:pPr>
        <w:spacing w:line="259" w:lineRule="auto"/>
        <w:rPr>
          <w:rFonts w:ascii="Arial" w:hAnsi="Arial" w:cs="Arial"/>
          <w:sz w:val="24"/>
          <w:szCs w:val="24"/>
          <w:u w:val="single"/>
        </w:rPr>
      </w:pPr>
      <w:r w:rsidRPr="00C32E70">
        <w:rPr>
          <w:rFonts w:ascii="Arial" w:hAnsi="Arial" w:cs="Arial"/>
          <w:sz w:val="24"/>
          <w:szCs w:val="24"/>
          <w:u w:val="single"/>
        </w:rPr>
        <w:t>ZASADY PRZEPROWADZ</w:t>
      </w:r>
      <w:r w:rsidR="00A32026" w:rsidRPr="00C32E70">
        <w:rPr>
          <w:rFonts w:ascii="Arial" w:hAnsi="Arial" w:cs="Arial"/>
          <w:sz w:val="24"/>
          <w:szCs w:val="24"/>
          <w:u w:val="single"/>
        </w:rPr>
        <w:t>ENIA ZALICZENIA</w:t>
      </w:r>
    </w:p>
    <w:p w:rsidR="00A32026" w:rsidRPr="00C32E70" w:rsidRDefault="0004300B" w:rsidP="000601EB">
      <w:pPr>
        <w:spacing w:line="259" w:lineRule="auto"/>
        <w:rPr>
          <w:rFonts w:ascii="Arial" w:hAnsi="Arial" w:cs="Arial"/>
          <w:sz w:val="24"/>
          <w:szCs w:val="24"/>
        </w:rPr>
      </w:pPr>
      <w:r w:rsidRPr="00C32E70">
        <w:rPr>
          <w:rFonts w:ascii="Arial" w:hAnsi="Arial" w:cs="Arial"/>
          <w:sz w:val="24"/>
          <w:szCs w:val="24"/>
        </w:rPr>
        <w:t>- zaliczenie jest przeprowadzane w formie pisemnej</w:t>
      </w:r>
      <w:r w:rsidR="00C32E70">
        <w:rPr>
          <w:rFonts w:ascii="Arial" w:hAnsi="Arial" w:cs="Arial"/>
          <w:sz w:val="24"/>
          <w:szCs w:val="24"/>
        </w:rPr>
        <w:t>,</w:t>
      </w:r>
    </w:p>
    <w:p w:rsidR="0004300B" w:rsidRPr="00C32E70" w:rsidRDefault="0004300B" w:rsidP="000601EB">
      <w:pPr>
        <w:spacing w:line="259" w:lineRule="auto"/>
        <w:rPr>
          <w:rFonts w:ascii="Arial" w:hAnsi="Arial" w:cs="Arial"/>
          <w:sz w:val="24"/>
          <w:szCs w:val="24"/>
        </w:rPr>
      </w:pPr>
      <w:r w:rsidRPr="00C32E70">
        <w:rPr>
          <w:rFonts w:ascii="Arial" w:hAnsi="Arial" w:cs="Arial"/>
          <w:sz w:val="24"/>
          <w:szCs w:val="24"/>
        </w:rPr>
        <w:t>- zaliczenie trwa 60 minut</w:t>
      </w:r>
      <w:r w:rsidR="00C32E70">
        <w:rPr>
          <w:rFonts w:ascii="Arial" w:hAnsi="Arial" w:cs="Arial"/>
          <w:sz w:val="24"/>
          <w:szCs w:val="24"/>
        </w:rPr>
        <w:t>,</w:t>
      </w:r>
    </w:p>
    <w:p w:rsidR="0004300B" w:rsidRPr="00C32E70" w:rsidRDefault="0004300B" w:rsidP="000601EB">
      <w:pPr>
        <w:spacing w:line="259" w:lineRule="auto"/>
        <w:rPr>
          <w:rFonts w:ascii="Arial" w:hAnsi="Arial" w:cs="Arial"/>
          <w:sz w:val="24"/>
          <w:szCs w:val="24"/>
        </w:rPr>
      </w:pPr>
      <w:r w:rsidRPr="00C32E70">
        <w:rPr>
          <w:rFonts w:ascii="Arial" w:hAnsi="Arial" w:cs="Arial"/>
          <w:sz w:val="24"/>
          <w:szCs w:val="24"/>
        </w:rPr>
        <w:t>- zaliczenie składa się z dwóch części</w:t>
      </w:r>
      <w:r w:rsidR="00C32E70">
        <w:rPr>
          <w:rFonts w:ascii="Arial" w:hAnsi="Arial" w:cs="Arial"/>
          <w:sz w:val="24"/>
          <w:szCs w:val="24"/>
        </w:rPr>
        <w:t>,</w:t>
      </w:r>
    </w:p>
    <w:p w:rsidR="0004300B" w:rsidRPr="00C32E70" w:rsidRDefault="0004300B" w:rsidP="000601EB">
      <w:pPr>
        <w:spacing w:line="259" w:lineRule="auto"/>
        <w:rPr>
          <w:rFonts w:ascii="Arial" w:hAnsi="Arial" w:cs="Arial"/>
          <w:sz w:val="24"/>
          <w:szCs w:val="24"/>
        </w:rPr>
      </w:pPr>
      <w:r w:rsidRPr="00C32E70">
        <w:rPr>
          <w:rFonts w:ascii="Arial" w:hAnsi="Arial" w:cs="Arial"/>
          <w:sz w:val="24"/>
          <w:szCs w:val="24"/>
        </w:rPr>
        <w:t>a) część opisowa lub testowa</w:t>
      </w:r>
    </w:p>
    <w:p w:rsidR="0004300B" w:rsidRPr="00C32E70" w:rsidRDefault="0004300B" w:rsidP="000601EB">
      <w:pPr>
        <w:spacing w:line="259" w:lineRule="auto"/>
        <w:rPr>
          <w:rFonts w:ascii="Arial" w:hAnsi="Arial" w:cs="Arial"/>
          <w:sz w:val="24"/>
          <w:szCs w:val="24"/>
        </w:rPr>
      </w:pPr>
      <w:r w:rsidRPr="00C32E70">
        <w:rPr>
          <w:rFonts w:ascii="Arial" w:hAnsi="Arial" w:cs="Arial"/>
          <w:sz w:val="24"/>
          <w:szCs w:val="24"/>
        </w:rPr>
        <w:t xml:space="preserve">b) część </w:t>
      </w:r>
      <w:proofErr w:type="spellStart"/>
      <w:r w:rsidRPr="00C32E70">
        <w:rPr>
          <w:rFonts w:ascii="Arial" w:hAnsi="Arial" w:cs="Arial"/>
          <w:sz w:val="24"/>
          <w:szCs w:val="24"/>
        </w:rPr>
        <w:t>kazusowa</w:t>
      </w:r>
      <w:proofErr w:type="spellEnd"/>
    </w:p>
    <w:p w:rsidR="0004300B" w:rsidRPr="00C32E70" w:rsidRDefault="0004300B" w:rsidP="000601EB">
      <w:pPr>
        <w:spacing w:line="259" w:lineRule="auto"/>
        <w:rPr>
          <w:rFonts w:ascii="Arial" w:hAnsi="Arial" w:cs="Arial"/>
          <w:sz w:val="24"/>
          <w:szCs w:val="24"/>
        </w:rPr>
      </w:pPr>
      <w:r w:rsidRPr="00C32E70">
        <w:rPr>
          <w:rFonts w:ascii="Arial" w:hAnsi="Arial" w:cs="Arial"/>
          <w:sz w:val="24"/>
          <w:szCs w:val="24"/>
        </w:rPr>
        <w:t xml:space="preserve">-część opisowa składa się z dwóch pytań, część testowa składa się z 25 pytań (z wariantami </w:t>
      </w:r>
      <w:proofErr w:type="spellStart"/>
      <w:r w:rsidRPr="00C32E70">
        <w:rPr>
          <w:rFonts w:ascii="Arial" w:hAnsi="Arial" w:cs="Arial"/>
          <w:sz w:val="24"/>
          <w:szCs w:val="24"/>
        </w:rPr>
        <w:t>a,b,c,d</w:t>
      </w:r>
      <w:proofErr w:type="spellEnd"/>
      <w:r w:rsidRPr="00C32E70">
        <w:rPr>
          <w:rFonts w:ascii="Arial" w:hAnsi="Arial" w:cs="Arial"/>
          <w:sz w:val="24"/>
          <w:szCs w:val="24"/>
        </w:rPr>
        <w:t>) jednokrotnego wyboru</w:t>
      </w:r>
      <w:r w:rsidR="00C32E70">
        <w:rPr>
          <w:rFonts w:ascii="Arial" w:hAnsi="Arial" w:cs="Arial"/>
          <w:sz w:val="24"/>
          <w:szCs w:val="24"/>
        </w:rPr>
        <w:t>,</w:t>
      </w:r>
    </w:p>
    <w:p w:rsidR="0004300B" w:rsidRPr="00C32E70" w:rsidRDefault="0004300B" w:rsidP="000601EB">
      <w:pPr>
        <w:spacing w:line="259" w:lineRule="auto"/>
        <w:rPr>
          <w:rFonts w:ascii="Arial" w:hAnsi="Arial" w:cs="Arial"/>
          <w:sz w:val="24"/>
          <w:szCs w:val="24"/>
        </w:rPr>
      </w:pPr>
      <w:r w:rsidRPr="00C32E70">
        <w:rPr>
          <w:rFonts w:ascii="Arial" w:hAnsi="Arial" w:cs="Arial"/>
          <w:sz w:val="24"/>
          <w:szCs w:val="24"/>
        </w:rPr>
        <w:t>- w c</w:t>
      </w:r>
      <w:r w:rsidR="00C32E70">
        <w:rPr>
          <w:rFonts w:ascii="Arial" w:hAnsi="Arial" w:cs="Arial"/>
          <w:sz w:val="24"/>
          <w:szCs w:val="24"/>
        </w:rPr>
        <w:t xml:space="preserve">zęści </w:t>
      </w:r>
      <w:proofErr w:type="spellStart"/>
      <w:r w:rsidR="00C32E70">
        <w:rPr>
          <w:rFonts w:ascii="Arial" w:hAnsi="Arial" w:cs="Arial"/>
          <w:sz w:val="24"/>
          <w:szCs w:val="24"/>
        </w:rPr>
        <w:t>kazusowej</w:t>
      </w:r>
      <w:proofErr w:type="spellEnd"/>
      <w:r w:rsidR="00C32E70">
        <w:rPr>
          <w:rFonts w:ascii="Arial" w:hAnsi="Arial" w:cs="Arial"/>
          <w:sz w:val="24"/>
          <w:szCs w:val="24"/>
        </w:rPr>
        <w:t xml:space="preserve"> należy opracować</w:t>
      </w:r>
      <w:r w:rsidRPr="00C32E70">
        <w:rPr>
          <w:rFonts w:ascii="Arial" w:hAnsi="Arial" w:cs="Arial"/>
          <w:sz w:val="24"/>
          <w:szCs w:val="24"/>
        </w:rPr>
        <w:t xml:space="preserve"> problem z zakresu wykładni prawa na </w:t>
      </w:r>
      <w:r w:rsidR="00701954" w:rsidRPr="00C32E70">
        <w:rPr>
          <w:rFonts w:ascii="Arial" w:hAnsi="Arial" w:cs="Arial"/>
          <w:sz w:val="24"/>
          <w:szCs w:val="24"/>
        </w:rPr>
        <w:t>podstawie</w:t>
      </w:r>
      <w:r w:rsidRPr="00C32E70">
        <w:rPr>
          <w:rFonts w:ascii="Arial" w:hAnsi="Arial" w:cs="Arial"/>
          <w:sz w:val="24"/>
          <w:szCs w:val="24"/>
        </w:rPr>
        <w:t xml:space="preserve"> </w:t>
      </w:r>
      <w:r w:rsidR="00C32E70">
        <w:rPr>
          <w:rFonts w:ascii="Arial" w:hAnsi="Arial" w:cs="Arial"/>
          <w:sz w:val="24"/>
          <w:szCs w:val="24"/>
        </w:rPr>
        <w:t>jednego z orzeczeń NSA lub WSA ,</w:t>
      </w:r>
      <w:bookmarkStart w:id="0" w:name="_GoBack"/>
      <w:bookmarkEnd w:id="0"/>
    </w:p>
    <w:p w:rsidR="00701954" w:rsidRPr="00C32E70" w:rsidRDefault="00701954" w:rsidP="000601EB">
      <w:pPr>
        <w:spacing w:line="259" w:lineRule="auto"/>
        <w:rPr>
          <w:rFonts w:ascii="Arial" w:hAnsi="Arial" w:cs="Arial"/>
          <w:sz w:val="24"/>
          <w:szCs w:val="24"/>
        </w:rPr>
      </w:pPr>
      <w:r w:rsidRPr="00C32E70">
        <w:rPr>
          <w:rFonts w:ascii="Arial" w:hAnsi="Arial" w:cs="Arial"/>
          <w:sz w:val="24"/>
          <w:szCs w:val="24"/>
        </w:rPr>
        <w:t>- w przypadku wyboru części testowej warunkiem zaliczenia jest uzyskanie 13 punktów (za każdą poprawną odpowiedź jest przyznawany 1 punkt)</w:t>
      </w:r>
    </w:p>
    <w:p w:rsidR="000601EB" w:rsidRPr="00C32E70" w:rsidRDefault="000601EB" w:rsidP="000601EB">
      <w:pPr>
        <w:rPr>
          <w:rFonts w:ascii="Arial" w:hAnsi="Arial" w:cs="Arial"/>
          <w:sz w:val="24"/>
          <w:szCs w:val="24"/>
        </w:rPr>
      </w:pPr>
    </w:p>
    <w:sectPr w:rsidR="000601EB" w:rsidRPr="00C32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61"/>
    <w:rsid w:val="0004300B"/>
    <w:rsid w:val="000601EB"/>
    <w:rsid w:val="002D1461"/>
    <w:rsid w:val="002F7CA5"/>
    <w:rsid w:val="00701954"/>
    <w:rsid w:val="00806B58"/>
    <w:rsid w:val="00A32026"/>
    <w:rsid w:val="00BF2448"/>
    <w:rsid w:val="00C3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BEEB"/>
  <w15:chartTrackingRefBased/>
  <w15:docId w15:val="{B0DC48E0-EF1D-4EA0-A9BE-41F043F2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44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Borszowski</dc:creator>
  <cp:keywords/>
  <dc:description/>
  <cp:lastModifiedBy>Paweł Borszowski</cp:lastModifiedBy>
  <cp:revision>7</cp:revision>
  <dcterms:created xsi:type="dcterms:W3CDTF">2024-01-10T20:39:00Z</dcterms:created>
  <dcterms:modified xsi:type="dcterms:W3CDTF">2024-01-10T21:18:00Z</dcterms:modified>
</cp:coreProperties>
</file>